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</w:t>
      </w:r>
    </w:p>
    <w:p>
      <w:pPr>
        <w:pStyle w:val="Normal"/>
        <w:jc w:val="center"/>
        <w:rPr>
          <w:rFonts w:ascii="Times New Roman" w:hAnsi="Times New Roman"/>
          <w:b/>
          <w:b/>
          <w:sz w:val="28"/>
        </w:rPr>
      </w:pPr>
      <w:r>
        <w:rPr>
          <w:rFonts w:ascii="Times New Roman" w:hAnsi="Times New Roman"/>
          <w:b/>
          <w:sz w:val="28"/>
        </w:rPr>
        <w:t>ПРАВИТЕЛЬСТВО РОССИЙСКОЙ ФЕДЕРАЦИИ</w:t>
      </w:r>
    </w:p>
    <w:p>
      <w:pPr>
        <w:pStyle w:val="Normal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ПОСТАНОВЛЕНИЕ</w:t>
      </w:r>
    </w:p>
    <w:p>
      <w:pPr>
        <w:pStyle w:val="Normal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 __________  2025 г. №___</w:t>
      </w:r>
    </w:p>
    <w:p>
      <w:pPr>
        <w:pStyle w:val="Normal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МОСКВА</w:t>
      </w:r>
    </w:p>
    <w:p>
      <w:pPr>
        <w:pStyle w:val="Normal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lineRule="auto" w:line="247" w:before="0" w:afterAutospacing="0" w:after="0"/>
        <w:jc w:val="center"/>
        <w:rPr>
          <w:rStyle w:val="11"/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</w:rPr>
        <w:t>О внесении изменений в</w:t>
      </w:r>
      <w:r>
        <w:rPr>
          <w:rStyle w:val="11"/>
          <w:rFonts w:ascii="Times New Roman" w:hAnsi="Times New Roman"/>
          <w:b/>
          <w:sz w:val="28"/>
        </w:rPr>
        <w:t xml:space="preserve"> постановление </w:t>
      </w:r>
    </w:p>
    <w:p>
      <w:pPr>
        <w:pStyle w:val="Normal"/>
        <w:spacing w:lineRule="auto" w:line="247" w:before="0" w:afterAutospacing="0" w:after="0"/>
        <w:jc w:val="center"/>
        <w:rPr>
          <w:rStyle w:val="11"/>
          <w:rFonts w:ascii="Times New Roman" w:hAnsi="Times New Roman"/>
          <w:b/>
          <w:b/>
          <w:bCs/>
          <w:sz w:val="28"/>
          <w:szCs w:val="28"/>
        </w:rPr>
      </w:pPr>
      <w:r>
        <w:rPr>
          <w:rStyle w:val="11"/>
          <w:rFonts w:ascii="Times New Roman" w:hAnsi="Times New Roman"/>
          <w:b/>
          <w:sz w:val="28"/>
        </w:rPr>
        <w:t>Правительства Российской Федерации от 29 июня 2021 г. № 1047</w:t>
      </w:r>
    </w:p>
    <w:p>
      <w:pPr>
        <w:pStyle w:val="Normal"/>
        <w:rPr>
          <w:rFonts w:ascii="Times New Roman" w:hAnsi="Times New Roman"/>
          <w:b/>
          <w:b/>
          <w:sz w:val="28"/>
        </w:rPr>
      </w:pPr>
      <w:r>
        <w:rPr>
          <w:rFonts w:ascii="Times New Roman" w:hAnsi="Times New Roman"/>
          <w:b/>
          <w:sz w:val="28"/>
        </w:rPr>
      </w:r>
    </w:p>
    <w:p>
      <w:pPr>
        <w:pStyle w:val="Normal"/>
        <w:spacing w:before="0" w:after="0"/>
        <w:ind w:firstLine="709"/>
        <w:rPr>
          <w:rFonts w:ascii="Times New Roman" w:hAnsi="Times New Roman"/>
          <w:b/>
          <w:b/>
          <w:sz w:val="28"/>
        </w:rPr>
      </w:pPr>
      <w:r>
        <w:rPr>
          <w:rFonts w:ascii="Times New Roman" w:hAnsi="Times New Roman"/>
          <w:sz w:val="28"/>
        </w:rPr>
        <w:t>Правительство Российской Федерации</w:t>
      </w:r>
      <w:r>
        <w:rPr>
          <w:rFonts w:ascii="Times New Roman" w:hAnsi="Times New Roman"/>
          <w:b/>
          <w:sz w:val="28"/>
        </w:rPr>
        <w:t xml:space="preserve"> п о с т а н о в л я е т:</w:t>
      </w:r>
    </w:p>
    <w:p>
      <w:pPr>
        <w:pStyle w:val="Normal"/>
        <w:spacing w:before="0" w:after="0"/>
        <w:ind w:firstLine="709"/>
        <w:jc w:val="both"/>
        <w:rPr/>
      </w:pPr>
      <w:r>
        <w:rPr>
          <w:rFonts w:ascii="Times New Roman" w:hAnsi="Times New Roman"/>
          <w:sz w:val="28"/>
        </w:rPr>
        <w:t>Утвердить прилагаемые изменения, которые вносятся в</w:t>
      </w:r>
      <w:r>
        <w:rPr>
          <w:rStyle w:val="11"/>
          <w:rFonts w:ascii="Times New Roman" w:hAnsi="Times New Roman"/>
          <w:sz w:val="28"/>
        </w:rPr>
        <w:t xml:space="preserve"> Положение</w:t>
        <w:br/>
        <w:t>о федеральном государственном контроле (надзоре) в области торгового мореплавания и внутреннего водного транспорта, утвержденное постановлением Правительства Российской Федерации от 29 июня 2021 г. № 1047«Об утверждении Положения о федеральном государственном контроле (надзоре) в области торгового мореплавания и внутреннего водного транспорта» (Собрание законодательства Российской Федерации, 2021, № 27, ст. 5425; № 49, ст. 8298).</w:t>
      </w:r>
    </w:p>
    <w:p>
      <w:pPr>
        <w:pStyle w:val="Normal"/>
        <w:jc w:val="center"/>
        <w:rPr>
          <w:rFonts w:ascii="Times New Roman" w:hAnsi="Times New Roman"/>
          <w:b/>
          <w:b/>
          <w:sz w:val="28"/>
        </w:rPr>
      </w:pPr>
      <w:r>
        <w:rPr>
          <w:rFonts w:ascii="Times New Roman" w:hAnsi="Times New Roman"/>
          <w:b/>
          <w:sz w:val="28"/>
        </w:rPr>
      </w:r>
    </w:p>
    <w:p>
      <w:pPr>
        <w:pStyle w:val="Normal"/>
        <w:jc w:val="center"/>
        <w:rPr>
          <w:rFonts w:ascii="Times New Roman" w:hAnsi="Times New Roman"/>
          <w:b/>
          <w:b/>
          <w:sz w:val="28"/>
        </w:rPr>
      </w:pPr>
      <w:r>
        <w:rPr>
          <w:rFonts w:ascii="Times New Roman" w:hAnsi="Times New Roman"/>
          <w:b/>
          <w:sz w:val="28"/>
        </w:rPr>
      </w:r>
    </w:p>
    <w:p>
      <w:pPr>
        <w:pStyle w:val="Normal"/>
        <w:rPr>
          <w:rFonts w:ascii="Times New Roman" w:hAnsi="Times New Roman"/>
          <w:sz w:val="28"/>
        </w:rPr>
      </w:pPr>
      <w:r>
        <w:rPr>
          <w:rStyle w:val="11"/>
          <w:rFonts w:ascii="Times New Roman" w:hAnsi="Times New Roman"/>
          <w:sz w:val="28"/>
        </w:rPr>
        <w:t xml:space="preserve">Председатель Правительства </w:t>
        <w:br/>
        <w:t xml:space="preserve">     Российской Федерации                                                                             М.Мишустин</w:t>
      </w:r>
    </w:p>
    <w:p>
      <w:pPr>
        <w:pStyle w:val="Normal"/>
        <w:jc w:val="center"/>
        <w:rPr>
          <w:rFonts w:ascii="Times New Roman" w:hAnsi="Times New Roman"/>
          <w:b/>
          <w:b/>
          <w:sz w:val="28"/>
        </w:rPr>
      </w:pPr>
      <w:r>
        <w:rPr>
          <w:rFonts w:ascii="Times New Roman" w:hAnsi="Times New Roman"/>
          <w:b/>
          <w:sz w:val="28"/>
        </w:rPr>
      </w:r>
    </w:p>
    <w:p>
      <w:pPr>
        <w:pStyle w:val="Normal"/>
        <w:jc w:val="center"/>
        <w:rPr>
          <w:rFonts w:ascii="Times New Roman" w:hAnsi="Times New Roman"/>
          <w:b/>
          <w:b/>
          <w:sz w:val="28"/>
        </w:rPr>
      </w:pPr>
      <w:r>
        <w:rPr>
          <w:rFonts w:ascii="Times New Roman" w:hAnsi="Times New Roman"/>
          <w:b/>
          <w:sz w:val="28"/>
        </w:rPr>
      </w:r>
    </w:p>
    <w:p>
      <w:pPr>
        <w:pStyle w:val="Normal"/>
        <w:spacing w:lineRule="auto" w:line="240" w:before="0" w:after="0"/>
        <w:ind w:left="6379" w:right="-1" w:hanging="0"/>
        <w:jc w:val="center"/>
        <w:rPr>
          <w:rFonts w:ascii="Times New Roman" w:hAnsi="Times New Roman"/>
          <w:b/>
          <w:b/>
          <w:sz w:val="28"/>
        </w:rPr>
      </w:pPr>
      <w:r>
        <w:rPr>
          <w:rFonts w:ascii="Times New Roman" w:hAnsi="Times New Roman"/>
          <w:b/>
          <w:sz w:val="28"/>
        </w:rPr>
      </w:r>
      <w:r>
        <w:br w:type="page"/>
      </w:r>
    </w:p>
    <w:p>
      <w:pPr>
        <w:pStyle w:val="Normal"/>
        <w:spacing w:lineRule="auto" w:line="240" w:before="0" w:after="0"/>
        <w:ind w:left="6379" w:right="-1" w:hanging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УТВЕРЖДЕНЫ</w:t>
      </w:r>
    </w:p>
    <w:p>
      <w:pPr>
        <w:pStyle w:val="Normal"/>
        <w:spacing w:lineRule="auto" w:line="240" w:before="0" w:after="0"/>
        <w:ind w:left="6379" w:right="-1" w:hanging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постановлением Правительства</w:t>
      </w:r>
    </w:p>
    <w:p>
      <w:pPr>
        <w:pStyle w:val="Normal"/>
        <w:spacing w:lineRule="auto" w:line="240" w:before="0" w:after="0"/>
        <w:ind w:left="6379" w:right="-1" w:hanging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Российской Федерации</w:t>
      </w:r>
    </w:p>
    <w:p>
      <w:pPr>
        <w:pStyle w:val="Normal"/>
        <w:spacing w:lineRule="auto" w:line="240" w:before="0" w:after="0"/>
        <w:ind w:left="6237" w:right="-1" w:hanging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_____________ 2025 г. № ___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ИЗМЕНЕНИЯ, </w:t>
      </w:r>
    </w:p>
    <w:p>
      <w:pPr>
        <w:pStyle w:val="Normal"/>
        <w:spacing w:lineRule="auto" w:line="240" w:before="0" w:after="0"/>
        <w:jc w:val="center"/>
        <w:rPr>
          <w:rStyle w:val="11"/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</w:rPr>
        <w:t xml:space="preserve">которые вносятся в </w:t>
      </w:r>
      <w:r>
        <w:rPr>
          <w:rStyle w:val="11"/>
          <w:rFonts w:ascii="Times New Roman" w:hAnsi="Times New Roman"/>
          <w:b/>
          <w:sz w:val="28"/>
        </w:rPr>
        <w:t xml:space="preserve">Положение о федеральном государственном </w:t>
      </w:r>
    </w:p>
    <w:p>
      <w:pPr>
        <w:pStyle w:val="Normal"/>
        <w:spacing w:lineRule="auto" w:line="240" w:before="0" w:after="0"/>
        <w:jc w:val="center"/>
        <w:rPr>
          <w:rStyle w:val="11"/>
          <w:rFonts w:ascii="Times New Roman" w:hAnsi="Times New Roman"/>
          <w:b/>
          <w:b/>
          <w:bCs/>
          <w:sz w:val="28"/>
          <w:szCs w:val="28"/>
        </w:rPr>
      </w:pPr>
      <w:r>
        <w:rPr>
          <w:rStyle w:val="11"/>
          <w:rFonts w:ascii="Times New Roman" w:hAnsi="Times New Roman"/>
          <w:b/>
          <w:sz w:val="28"/>
        </w:rPr>
        <w:t xml:space="preserve">контроле (надзоре) в области торгового мореплавания и внутреннего </w:t>
      </w:r>
    </w:p>
    <w:p>
      <w:pPr>
        <w:pStyle w:val="Normal"/>
        <w:spacing w:lineRule="auto" w:line="240" w:before="0" w:after="0"/>
        <w:jc w:val="center"/>
        <w:rPr>
          <w:rStyle w:val="11"/>
          <w:rFonts w:ascii="Times New Roman" w:hAnsi="Times New Roman"/>
          <w:b/>
          <w:b/>
          <w:bCs/>
          <w:sz w:val="28"/>
          <w:szCs w:val="28"/>
        </w:rPr>
      </w:pPr>
      <w:r>
        <w:rPr>
          <w:rStyle w:val="11"/>
          <w:rFonts w:ascii="Times New Roman" w:hAnsi="Times New Roman"/>
          <w:b/>
          <w:sz w:val="28"/>
        </w:rPr>
        <w:t>водного транспорта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/>
          <w:b/>
          <w:b/>
          <w:sz w:val="28"/>
        </w:rPr>
      </w:pPr>
      <w:r>
        <w:rPr>
          <w:rFonts w:ascii="Times New Roman" w:hAnsi="Times New Roman"/>
          <w:b/>
          <w:sz w:val="28"/>
        </w:rPr>
      </w:r>
    </w:p>
    <w:p>
      <w:pPr>
        <w:pStyle w:val="Normal"/>
        <w:spacing w:lineRule="auto" w:line="240" w:before="0" w:after="0"/>
        <w:ind w:left="0" w:right="0" w:firstLine="850"/>
        <w:jc w:val="both"/>
        <w:rPr/>
      </w:pPr>
      <w:r>
        <w:rPr>
          <w:rFonts w:ascii="Times New Roman" w:hAnsi="Times New Roman"/>
          <w:sz w:val="28"/>
        </w:rPr>
        <w:t>1. Подпункт «ж» пункта 2 после слов «подпункт «к» пункта 239 указанного регламента» дополнить словами «; в отношении объектов федерального контроля, указанных в подпункте «р» пункта 7 настоящего Положения, - подпункт «ж» пункта 247, подпункты «а», «б» пункта 248 указанного регламента», после слов «пункты 518-520 указанного регламента» дополнить словами «; в отношении объектов федерального контроля, указанных в подпунктах «с» и «т» пункта 7 настоящего Положения, - пункт 216 указанного регламента».</w:t>
      </w:r>
    </w:p>
    <w:p>
      <w:pPr>
        <w:pStyle w:val="Normal"/>
        <w:spacing w:lineRule="auto" w:line="240" w:before="0" w:after="0"/>
        <w:ind w:left="0" w:right="0" w:firstLine="850"/>
        <w:jc w:val="both"/>
        <w:rPr/>
      </w:pPr>
      <w:r>
        <w:rPr>
          <w:rFonts w:ascii="Times New Roman" w:hAnsi="Times New Roman"/>
          <w:sz w:val="28"/>
        </w:rPr>
        <w:t>2. В пункте 7:</w:t>
      </w:r>
    </w:p>
    <w:p>
      <w:pPr>
        <w:pStyle w:val="Normal"/>
        <w:spacing w:lineRule="auto" w:line="240" w:before="0" w:after="0"/>
        <w:ind w:left="0" w:right="0" w:firstLine="850"/>
        <w:jc w:val="both"/>
        <w:rPr/>
      </w:pPr>
      <w:r>
        <w:rPr>
          <w:rFonts w:ascii="Times New Roman" w:hAnsi="Times New Roman"/>
          <w:sz w:val="28"/>
        </w:rPr>
        <w:t>а) в подпункте «б» слово «опасных» исключить;</w:t>
      </w:r>
    </w:p>
    <w:p>
      <w:pPr>
        <w:pStyle w:val="Normal"/>
        <w:spacing w:lineRule="auto" w:line="240" w:before="0" w:after="0"/>
        <w:ind w:left="0" w:right="0" w:firstLine="850"/>
        <w:jc w:val="both"/>
        <w:rPr/>
      </w:pPr>
      <w:r>
        <w:rPr>
          <w:rFonts w:ascii="Times New Roman" w:hAnsi="Times New Roman"/>
          <w:sz w:val="28"/>
        </w:rPr>
        <w:t>б) дополнить подпунктами «р» - «т» следующего содержания:</w:t>
      </w:r>
    </w:p>
    <w:p>
      <w:pPr>
        <w:pStyle w:val="Normal"/>
        <w:spacing w:lineRule="auto" w:line="240" w:before="0" w:after="0"/>
        <w:ind w:left="0" w:right="0" w:firstLine="850"/>
        <w:jc w:val="both"/>
        <w:rPr/>
      </w:pPr>
      <w:r>
        <w:rPr>
          <w:rFonts w:ascii="Times New Roman" w:hAnsi="Times New Roman"/>
          <w:sz w:val="28"/>
        </w:rPr>
        <w:t>«р) морские суда и деятельность по их эксплуатации;</w:t>
      </w:r>
    </w:p>
    <w:p>
      <w:pPr>
        <w:pStyle w:val="Normal"/>
        <w:spacing w:lineRule="auto" w:line="240" w:before="0" w:after="0"/>
        <w:ind w:left="0" w:right="0" w:firstLine="850"/>
        <w:jc w:val="both"/>
        <w:rPr/>
      </w:pPr>
      <w:r>
        <w:rPr>
          <w:rFonts w:ascii="Times New Roman" w:hAnsi="Times New Roman"/>
          <w:sz w:val="28"/>
        </w:rPr>
        <w:t>с) суда внутреннего водного транспорта и деятельность по их эксплуатации;</w:t>
      </w:r>
    </w:p>
    <w:p>
      <w:pPr>
        <w:pStyle w:val="Normal"/>
        <w:spacing w:lineRule="auto" w:line="240" w:before="0" w:after="0"/>
        <w:ind w:left="0" w:right="0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т) суда смешанного (река-море) плавания и деятельность</w:t>
        <w:br/>
        <w:t>по их эксплуатации.».</w:t>
      </w:r>
    </w:p>
    <w:p>
      <w:pPr>
        <w:pStyle w:val="Normal"/>
        <w:spacing w:lineRule="auto" w:line="240" w:before="0" w:after="0"/>
        <w:ind w:left="0" w:right="0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3. В пункте 13 после слов «при осуществлении рыболовства» дополнить словами «; морских судов, судов внутреннего водного транспорта, судов смешанного (река-море) плавания, а также деятельности по их эксплуатации».</w:t>
      </w:r>
    </w:p>
    <w:p>
      <w:pPr>
        <w:pStyle w:val="Normal"/>
        <w:spacing w:lineRule="auto" w:line="240" w:before="0" w:after="0"/>
        <w:ind w:left="0" w:right="0" w:firstLine="85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Дополнить пунктом 14.1 следующего содержания:</w:t>
      </w:r>
    </w:p>
    <w:p>
      <w:pPr>
        <w:pStyle w:val="Normal"/>
        <w:spacing w:lineRule="auto" w:line="240" w:before="0" w:after="0"/>
        <w:ind w:left="0" w:right="0" w:firstLine="85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«14.1. Отнесение объектов федерального контроля морских судов, судов внутреннего водного транспорта, судов смешанного (река-море) плавания, а также деятельности по их эксплуатации к определенной категории риска осуществляется согласно приложению № 2.1.».</w:t>
      </w:r>
    </w:p>
    <w:p>
      <w:pPr>
        <w:pStyle w:val="Normal"/>
        <w:spacing w:lineRule="auto" w:line="240" w:before="0" w:after="0"/>
        <w:ind w:left="0" w:right="0" w:firstLine="850"/>
        <w:jc w:val="both"/>
        <w:rPr/>
      </w:pPr>
      <w:r>
        <w:rPr>
          <w:rFonts w:ascii="Times New Roman" w:hAnsi="Times New Roman"/>
          <w:sz w:val="28"/>
        </w:rPr>
        <w:t>5. В подпункте «г» пункта 100 слова «(в отношении организаций, осуществляющих эксплуатацию судоходных и портовых гидротехнических сооружений)» исключить.</w:t>
      </w:r>
    </w:p>
    <w:p>
      <w:pPr>
        <w:pStyle w:val="Normal"/>
        <w:spacing w:lineRule="auto" w:line="240" w:before="0" w:after="0"/>
        <w:ind w:left="0" w:right="0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6. Дополнить приложением 2.1 следующего содержания:</w:t>
      </w:r>
    </w:p>
    <w:p>
      <w:pPr>
        <w:pStyle w:val="Normal"/>
        <w:spacing w:lineRule="auto" w:line="240" w:before="0" w:after="0"/>
        <w:ind w:left="0" w:right="0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0" w:right="0" w:firstLine="850"/>
        <w:jc w:val="right"/>
        <w:rPr/>
      </w:pPr>
      <w:r>
        <w:rPr>
          <w:rFonts w:ascii="Times New Roman" w:hAnsi="Times New Roman"/>
          <w:sz w:val="28"/>
        </w:rPr>
        <w:t>«Приложение № 2.1</w:t>
      </w:r>
    </w:p>
    <w:p>
      <w:pPr>
        <w:pStyle w:val="Normal"/>
        <w:spacing w:lineRule="auto" w:line="240" w:before="0" w:after="0"/>
        <w:ind w:left="0" w:right="0" w:firstLine="850"/>
        <w:jc w:val="right"/>
        <w:rPr/>
      </w:pPr>
      <w:r>
        <w:rPr>
          <w:rFonts w:ascii="Times New Roman" w:hAnsi="Times New Roman"/>
          <w:sz w:val="28"/>
        </w:rPr>
        <w:t>к Положению о федеральном</w:t>
      </w:r>
    </w:p>
    <w:p>
      <w:pPr>
        <w:pStyle w:val="Normal"/>
        <w:spacing w:lineRule="auto" w:line="240" w:before="0" w:after="0"/>
        <w:ind w:left="0" w:right="0" w:firstLine="850"/>
        <w:jc w:val="right"/>
        <w:rPr/>
      </w:pPr>
      <w:r>
        <w:rPr>
          <w:rFonts w:ascii="Times New Roman" w:hAnsi="Times New Roman"/>
          <w:sz w:val="28"/>
        </w:rPr>
        <w:t>государственном контроле (надзоре)</w:t>
      </w:r>
    </w:p>
    <w:p>
      <w:pPr>
        <w:pStyle w:val="Normal"/>
        <w:spacing w:lineRule="auto" w:line="240" w:before="0" w:after="0"/>
        <w:ind w:left="0" w:right="0" w:firstLine="850"/>
        <w:jc w:val="right"/>
        <w:rPr/>
      </w:pPr>
      <w:r>
        <w:rPr>
          <w:rFonts w:ascii="Times New Roman" w:hAnsi="Times New Roman"/>
          <w:sz w:val="28"/>
        </w:rPr>
        <w:t>в области торгового мореплавания</w:t>
      </w:r>
    </w:p>
    <w:p>
      <w:pPr>
        <w:pStyle w:val="Normal"/>
        <w:spacing w:lineRule="auto" w:line="240" w:before="0" w:after="0"/>
        <w:ind w:left="0" w:right="0" w:firstLine="850"/>
        <w:jc w:val="right"/>
        <w:rPr/>
      </w:pPr>
      <w:r>
        <w:rPr>
          <w:rFonts w:ascii="Times New Roman" w:hAnsi="Times New Roman"/>
          <w:sz w:val="28"/>
        </w:rPr>
        <w:t>и внутреннего водного транспорта</w:t>
      </w:r>
    </w:p>
    <w:p>
      <w:pPr>
        <w:pStyle w:val="Normal"/>
        <w:spacing w:lineRule="auto" w:line="240" w:before="0" w:after="0"/>
        <w:ind w:left="0" w:right="0" w:firstLine="850"/>
        <w:jc w:val="both"/>
        <w:rPr/>
      </w:pPr>
      <w:r>
        <w:rPr/>
      </w:r>
    </w:p>
    <w:p>
      <w:pPr>
        <w:pStyle w:val="Normal"/>
        <w:spacing w:lineRule="auto" w:line="240" w:before="0" w:after="0"/>
        <w:ind w:left="0" w:right="0" w:firstLine="850"/>
        <w:jc w:val="both"/>
        <w:rPr/>
      </w:pPr>
      <w:r>
        <w:rPr/>
      </w:r>
    </w:p>
    <w:p>
      <w:pPr>
        <w:pStyle w:val="Normal"/>
        <w:spacing w:lineRule="auto" w:line="240" w:before="0" w:after="0"/>
        <w:ind w:left="0" w:right="0" w:hanging="0"/>
        <w:jc w:val="center"/>
        <w:rPr/>
      </w:pPr>
      <w:r>
        <w:rPr>
          <w:rFonts w:ascii="Times New Roman" w:hAnsi="Times New Roman"/>
          <w:sz w:val="28"/>
        </w:rPr>
        <w:t>Критерии</w:t>
      </w:r>
    </w:p>
    <w:p>
      <w:pPr>
        <w:pStyle w:val="Normal"/>
        <w:spacing w:lineRule="auto" w:line="240" w:before="0" w:after="0"/>
        <w:ind w:left="0" w:right="0" w:hanging="0"/>
        <w:jc w:val="center"/>
        <w:rPr/>
      </w:pPr>
      <w:r>
        <w:rPr>
          <w:rFonts w:ascii="Times New Roman" w:hAnsi="Times New Roman"/>
          <w:sz w:val="28"/>
        </w:rPr>
        <w:t>отнесения объектов федерального контроля морских судов, судов внутреннего водного транспорта, судов смешанного (река-море) плавания, а также деятельности по их эксплуатации к определенной категории риска</w:t>
      </w:r>
    </w:p>
    <w:p>
      <w:pPr>
        <w:pStyle w:val="Normal"/>
        <w:spacing w:lineRule="auto" w:line="240" w:before="0" w:after="0"/>
        <w:ind w:left="0" w:right="0" w:firstLine="850"/>
        <w:jc w:val="both"/>
        <w:rPr/>
      </w:pPr>
      <w:r>
        <w:rPr/>
      </w:r>
    </w:p>
    <w:p>
      <w:pPr>
        <w:pStyle w:val="Normal"/>
        <w:spacing w:lineRule="auto" w:line="240" w:before="0" w:after="0"/>
        <w:ind w:left="0" w:right="0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1. Отнесение к категориям риска объектов федерального контроля морских судов, судов внутреннего водного транспорта, судов смешанного (река-море) плавания (далее – суда), а также деятельности по их эксплуатации, осуществляется по бальной системе на основании параметров судна, оценки тяжести потенциальных негативных последствий, возникающих вследствие нарушения обязательных требований на судне и оценки вероятности несоблюдения обязательных требований, а также с учетом наличия аварий или инцидентов с судном.</w:t>
      </w:r>
    </w:p>
    <w:p>
      <w:pPr>
        <w:pStyle w:val="Normal"/>
        <w:spacing w:lineRule="auto" w:line="240" w:before="0" w:after="0"/>
        <w:ind w:left="0" w:right="0" w:firstLine="850"/>
        <w:jc w:val="both"/>
        <w:rPr/>
      </w:pPr>
      <w:r>
        <w:rPr>
          <w:rFonts w:ascii="Times New Roman" w:hAnsi="Times New Roman"/>
          <w:sz w:val="28"/>
        </w:rPr>
        <w:t>2. Для расчета категории риска судна и деятельности по его эксплуатации, используются следующие критерии:</w:t>
      </w:r>
    </w:p>
    <w:p>
      <w:pPr>
        <w:pStyle w:val="Normal"/>
        <w:spacing w:lineRule="auto" w:line="240" w:before="0" w:after="0"/>
        <w:ind w:left="0" w:right="0" w:firstLine="850"/>
        <w:jc w:val="both"/>
        <w:rPr/>
      </w:pPr>
      <w:r>
        <w:rPr>
          <w:rFonts w:ascii="Times New Roman" w:hAnsi="Times New Roman"/>
          <w:sz w:val="28"/>
        </w:rPr>
        <w:t>тип судна (пассажирское, грузовое: сухогрузное или наливное; буксир; вспомогательное; технического флота);</w:t>
      </w:r>
    </w:p>
    <w:p>
      <w:pPr>
        <w:pStyle w:val="Normal"/>
        <w:spacing w:lineRule="auto" w:line="240" w:before="0" w:after="0"/>
        <w:ind w:left="0" w:right="0" w:firstLine="850"/>
        <w:jc w:val="both"/>
        <w:rPr/>
      </w:pPr>
      <w:r>
        <w:rPr>
          <w:rFonts w:ascii="Times New Roman" w:hAnsi="Times New Roman"/>
          <w:sz w:val="28"/>
        </w:rPr>
        <w:t>характеристики судна (грузоподъемность, пассажировместимость, мощность);</w:t>
      </w:r>
    </w:p>
    <w:p>
      <w:pPr>
        <w:pStyle w:val="Normal"/>
        <w:spacing w:lineRule="auto" w:line="240" w:before="0" w:after="0"/>
        <w:ind w:left="0" w:right="0" w:firstLine="850"/>
        <w:jc w:val="both"/>
        <w:rPr/>
      </w:pPr>
      <w:r>
        <w:rPr>
          <w:rFonts w:ascii="Times New Roman" w:hAnsi="Times New Roman"/>
          <w:sz w:val="28"/>
        </w:rPr>
        <w:t>возраст судна.</w:t>
      </w:r>
    </w:p>
    <w:p>
      <w:pPr>
        <w:pStyle w:val="Normal"/>
        <w:spacing w:lineRule="auto" w:line="240" w:before="0" w:after="0"/>
        <w:ind w:left="0" w:right="0" w:firstLine="850"/>
        <w:jc w:val="both"/>
        <w:rPr/>
      </w:pPr>
      <w:r>
        <w:rPr>
          <w:rFonts w:ascii="Times New Roman" w:hAnsi="Times New Roman"/>
          <w:sz w:val="28"/>
        </w:rPr>
        <w:t>В зависимости от значений указанных параметров судну начисляются баллы по нижеследующей схеме.</w:t>
      </w:r>
    </w:p>
    <w:p>
      <w:pPr>
        <w:pStyle w:val="Normal"/>
        <w:spacing w:lineRule="auto" w:line="240" w:before="0" w:after="0"/>
        <w:ind w:left="0" w:right="0" w:firstLine="850"/>
        <w:jc w:val="both"/>
        <w:rPr/>
      </w:pPr>
      <w:r>
        <w:rPr>
          <w:rFonts w:ascii="Times New Roman" w:hAnsi="Times New Roman"/>
          <w:sz w:val="28"/>
        </w:rPr>
        <w:t>В зависимости от типа и характеристик судов:</w:t>
      </w:r>
    </w:p>
    <w:p>
      <w:pPr>
        <w:pStyle w:val="Normal"/>
        <w:spacing w:lineRule="auto" w:line="240" w:before="0" w:after="0"/>
        <w:ind w:left="0" w:right="0" w:firstLine="850"/>
        <w:jc w:val="both"/>
        <w:rPr/>
      </w:pPr>
      <w:r>
        <w:rPr>
          <w:rFonts w:ascii="Times New Roman" w:hAnsi="Times New Roman"/>
          <w:sz w:val="28"/>
        </w:rPr>
        <w:t>для пассажирских судов исходя из пассажировместимости:</w:t>
      </w:r>
    </w:p>
    <w:p>
      <w:pPr>
        <w:pStyle w:val="Normal"/>
        <w:spacing w:lineRule="auto" w:line="240" w:before="0" w:after="0"/>
        <w:ind w:left="0" w:right="0" w:firstLine="850"/>
        <w:jc w:val="both"/>
        <w:rPr/>
      </w:pPr>
      <w:r>
        <w:rPr>
          <w:rFonts w:ascii="Times New Roman" w:hAnsi="Times New Roman"/>
          <w:sz w:val="28"/>
        </w:rPr>
        <w:t>до 100 человек - 7 баллов;</w:t>
      </w:r>
    </w:p>
    <w:p>
      <w:pPr>
        <w:pStyle w:val="Normal"/>
        <w:spacing w:lineRule="auto" w:line="240" w:before="0" w:after="0"/>
        <w:ind w:left="0" w:right="0" w:firstLine="850"/>
        <w:jc w:val="both"/>
        <w:rPr/>
      </w:pPr>
      <w:r>
        <w:rPr>
          <w:rFonts w:ascii="Times New Roman" w:hAnsi="Times New Roman"/>
          <w:sz w:val="28"/>
        </w:rPr>
        <w:t>от 100 до 200 человек - 15 баллов;</w:t>
      </w:r>
    </w:p>
    <w:p>
      <w:pPr>
        <w:pStyle w:val="Normal"/>
        <w:spacing w:lineRule="auto" w:line="240" w:before="0" w:after="0"/>
        <w:ind w:left="0" w:right="0" w:firstLine="850"/>
        <w:jc w:val="both"/>
        <w:rPr/>
      </w:pPr>
      <w:r>
        <w:rPr>
          <w:rFonts w:ascii="Times New Roman" w:hAnsi="Times New Roman"/>
          <w:sz w:val="28"/>
        </w:rPr>
        <w:t>более 200 человек - 20 баллов;</w:t>
      </w:r>
    </w:p>
    <w:p>
      <w:pPr>
        <w:pStyle w:val="Normal"/>
        <w:spacing w:lineRule="auto" w:line="240" w:before="0" w:after="0"/>
        <w:ind w:left="0" w:right="0" w:firstLine="850"/>
        <w:jc w:val="both"/>
        <w:rPr/>
      </w:pPr>
      <w:r>
        <w:rPr>
          <w:rFonts w:ascii="Times New Roman" w:hAnsi="Times New Roman"/>
          <w:sz w:val="28"/>
        </w:rPr>
        <w:t>для грузовых наливных судов, осуществляющих перевозку опасных грузов исходя из грузоподъемности:</w:t>
      </w:r>
    </w:p>
    <w:p>
      <w:pPr>
        <w:pStyle w:val="Normal"/>
        <w:spacing w:lineRule="auto" w:line="240" w:before="0" w:after="0"/>
        <w:ind w:left="0" w:right="0" w:firstLine="850"/>
        <w:jc w:val="both"/>
        <w:rPr/>
      </w:pPr>
      <w:r>
        <w:rPr>
          <w:rFonts w:ascii="Times New Roman" w:hAnsi="Times New Roman"/>
          <w:sz w:val="28"/>
        </w:rPr>
        <w:t>до 1000 тонн - 7 баллов;</w:t>
      </w:r>
    </w:p>
    <w:p>
      <w:pPr>
        <w:pStyle w:val="Normal"/>
        <w:spacing w:lineRule="auto" w:line="240" w:before="0" w:after="0"/>
        <w:ind w:left="0" w:right="0" w:firstLine="850"/>
        <w:jc w:val="both"/>
        <w:rPr/>
      </w:pPr>
      <w:r>
        <w:rPr>
          <w:rFonts w:ascii="Times New Roman" w:hAnsi="Times New Roman"/>
          <w:sz w:val="28"/>
        </w:rPr>
        <w:t>от 1000 до 3000 тонн - 14 баллов;</w:t>
      </w:r>
    </w:p>
    <w:p>
      <w:pPr>
        <w:pStyle w:val="Normal"/>
        <w:spacing w:lineRule="auto" w:line="240" w:before="0" w:after="0"/>
        <w:ind w:left="0" w:right="0" w:firstLine="850"/>
        <w:jc w:val="both"/>
        <w:rPr/>
      </w:pPr>
      <w:r>
        <w:rPr>
          <w:rFonts w:ascii="Times New Roman" w:hAnsi="Times New Roman"/>
          <w:sz w:val="28"/>
        </w:rPr>
        <w:t>более 3000 тонн - 21 балл;</w:t>
      </w:r>
    </w:p>
    <w:p>
      <w:pPr>
        <w:pStyle w:val="Normal"/>
        <w:spacing w:lineRule="auto" w:line="240" w:before="0" w:after="0"/>
        <w:ind w:left="0" w:right="0" w:firstLine="850"/>
        <w:jc w:val="both"/>
        <w:rPr/>
      </w:pPr>
      <w:r>
        <w:rPr>
          <w:rFonts w:ascii="Times New Roman" w:hAnsi="Times New Roman"/>
          <w:sz w:val="28"/>
        </w:rPr>
        <w:t>для грузовых сухогрузных судов исходя из грузоподъемности:</w:t>
      </w:r>
    </w:p>
    <w:p>
      <w:pPr>
        <w:pStyle w:val="Normal"/>
        <w:spacing w:lineRule="auto" w:line="240" w:before="0" w:after="0"/>
        <w:ind w:left="0" w:right="0" w:firstLine="850"/>
        <w:jc w:val="both"/>
        <w:rPr/>
      </w:pPr>
      <w:r>
        <w:rPr>
          <w:rFonts w:ascii="Times New Roman" w:hAnsi="Times New Roman"/>
          <w:sz w:val="28"/>
        </w:rPr>
        <w:t>до 1000 тонн - 3 балла;</w:t>
      </w:r>
    </w:p>
    <w:p>
      <w:pPr>
        <w:pStyle w:val="Normal"/>
        <w:spacing w:lineRule="auto" w:line="240" w:before="0" w:after="0"/>
        <w:ind w:left="0" w:right="0" w:firstLine="850"/>
        <w:jc w:val="both"/>
        <w:rPr/>
      </w:pPr>
      <w:r>
        <w:rPr>
          <w:rFonts w:ascii="Times New Roman" w:hAnsi="Times New Roman"/>
          <w:sz w:val="28"/>
        </w:rPr>
        <w:t>от 1000 до 3000 тонн - 6 баллов;</w:t>
      </w:r>
    </w:p>
    <w:p>
      <w:pPr>
        <w:pStyle w:val="Normal"/>
        <w:spacing w:lineRule="auto" w:line="240" w:before="0" w:after="0"/>
        <w:ind w:left="0" w:right="0" w:firstLine="850"/>
        <w:jc w:val="both"/>
        <w:rPr/>
      </w:pPr>
      <w:r>
        <w:rPr>
          <w:rFonts w:ascii="Times New Roman" w:hAnsi="Times New Roman"/>
          <w:sz w:val="28"/>
        </w:rPr>
        <w:t>более 3000 тонн - 8 баллов;</w:t>
      </w:r>
    </w:p>
    <w:p>
      <w:pPr>
        <w:pStyle w:val="Normal"/>
        <w:spacing w:lineRule="auto" w:line="240" w:before="0" w:after="0"/>
        <w:ind w:left="0" w:right="0" w:firstLine="850"/>
        <w:jc w:val="both"/>
        <w:rPr/>
      </w:pPr>
      <w:r>
        <w:rPr>
          <w:rFonts w:ascii="Times New Roman" w:hAnsi="Times New Roman"/>
          <w:sz w:val="28"/>
        </w:rPr>
        <w:t>для несамоходных грузовых судов число баллов уменьшается на 2 балла;</w:t>
      </w:r>
    </w:p>
    <w:p>
      <w:pPr>
        <w:pStyle w:val="Normal"/>
        <w:spacing w:lineRule="auto" w:line="240" w:before="0" w:after="0"/>
        <w:ind w:left="0" w:right="0" w:firstLine="850"/>
        <w:jc w:val="both"/>
        <w:rPr/>
      </w:pPr>
      <w:r>
        <w:rPr>
          <w:rFonts w:ascii="Times New Roman" w:hAnsi="Times New Roman"/>
          <w:sz w:val="28"/>
        </w:rPr>
        <w:t>для буксиров исходя из мощности силовой установки:</w:t>
      </w:r>
    </w:p>
    <w:p>
      <w:pPr>
        <w:pStyle w:val="Normal"/>
        <w:spacing w:lineRule="auto" w:line="240" w:before="0" w:after="0"/>
        <w:ind w:left="0" w:right="0" w:firstLine="850"/>
        <w:jc w:val="both"/>
        <w:rPr/>
      </w:pPr>
      <w:r>
        <w:rPr>
          <w:rFonts w:ascii="Times New Roman" w:hAnsi="Times New Roman"/>
          <w:sz w:val="28"/>
        </w:rPr>
        <w:t>до 110 кВт - 3 балла;</w:t>
      </w:r>
    </w:p>
    <w:p>
      <w:pPr>
        <w:pStyle w:val="Normal"/>
        <w:spacing w:lineRule="auto" w:line="240" w:before="0" w:after="0"/>
        <w:ind w:left="0" w:right="0" w:firstLine="850"/>
        <w:jc w:val="both"/>
        <w:rPr/>
      </w:pPr>
      <w:r>
        <w:rPr>
          <w:rFonts w:ascii="Times New Roman" w:hAnsi="Times New Roman"/>
          <w:sz w:val="28"/>
        </w:rPr>
        <w:t>от 110 до 330 кВт - 6 баллов;</w:t>
      </w:r>
    </w:p>
    <w:p>
      <w:pPr>
        <w:pStyle w:val="Normal"/>
        <w:spacing w:lineRule="auto" w:line="240" w:before="0" w:after="0"/>
        <w:ind w:left="0" w:right="0" w:firstLine="850"/>
        <w:jc w:val="both"/>
        <w:rPr/>
      </w:pPr>
      <w:r>
        <w:rPr>
          <w:rFonts w:ascii="Times New Roman" w:hAnsi="Times New Roman"/>
          <w:sz w:val="28"/>
        </w:rPr>
        <w:t>более 330 кВт - 9 баллов;</w:t>
      </w:r>
    </w:p>
    <w:p>
      <w:pPr>
        <w:pStyle w:val="Normal"/>
        <w:spacing w:lineRule="auto" w:line="240" w:before="0" w:after="0"/>
        <w:ind w:left="0" w:right="0" w:firstLine="850"/>
        <w:jc w:val="both"/>
        <w:rPr/>
      </w:pPr>
      <w:r>
        <w:rPr>
          <w:rFonts w:ascii="Times New Roman" w:hAnsi="Times New Roman"/>
          <w:sz w:val="28"/>
        </w:rPr>
        <w:t>для вспомогательных судов - 3 балла;</w:t>
      </w:r>
    </w:p>
    <w:p>
      <w:pPr>
        <w:pStyle w:val="Normal"/>
        <w:spacing w:lineRule="auto" w:line="240" w:before="0" w:after="0"/>
        <w:ind w:left="0" w:right="0" w:firstLine="850"/>
        <w:jc w:val="both"/>
        <w:rPr/>
      </w:pPr>
      <w:r>
        <w:rPr>
          <w:rFonts w:ascii="Times New Roman" w:hAnsi="Times New Roman"/>
          <w:sz w:val="28"/>
        </w:rPr>
        <w:t>для судов технического флота - 10 баллов;</w:t>
      </w:r>
    </w:p>
    <w:p>
      <w:pPr>
        <w:pStyle w:val="Normal"/>
        <w:spacing w:lineRule="auto" w:line="240" w:before="0" w:after="0"/>
        <w:ind w:left="0" w:right="0" w:firstLine="850"/>
        <w:jc w:val="both"/>
        <w:rPr/>
      </w:pPr>
      <w:r>
        <w:rPr>
          <w:rFonts w:ascii="Times New Roman" w:hAnsi="Times New Roman"/>
          <w:sz w:val="28"/>
        </w:rPr>
        <w:t>В зависимости от возраста:</w:t>
      </w:r>
    </w:p>
    <w:p>
      <w:pPr>
        <w:pStyle w:val="Normal"/>
        <w:spacing w:lineRule="auto" w:line="240" w:before="0" w:after="0"/>
        <w:ind w:left="0" w:right="0" w:firstLine="850"/>
        <w:jc w:val="both"/>
        <w:rPr/>
      </w:pPr>
      <w:r>
        <w:rPr>
          <w:rFonts w:ascii="Times New Roman" w:hAnsi="Times New Roman"/>
          <w:sz w:val="28"/>
        </w:rPr>
        <w:t>для судов возрастом до 6 лет - 0 баллов;</w:t>
      </w:r>
    </w:p>
    <w:p>
      <w:pPr>
        <w:pStyle w:val="Normal"/>
        <w:spacing w:lineRule="auto" w:line="240" w:before="0" w:after="0"/>
        <w:ind w:left="0" w:right="0" w:firstLine="850"/>
        <w:jc w:val="both"/>
        <w:rPr/>
      </w:pPr>
      <w:r>
        <w:rPr>
          <w:rFonts w:ascii="Times New Roman" w:hAnsi="Times New Roman"/>
          <w:sz w:val="28"/>
        </w:rPr>
        <w:t>для судов возрастом от 6 до 15 лет - 10 баллов;</w:t>
      </w:r>
    </w:p>
    <w:p>
      <w:pPr>
        <w:pStyle w:val="Normal"/>
        <w:spacing w:lineRule="auto" w:line="240" w:before="0" w:after="0"/>
        <w:ind w:left="0" w:right="0" w:firstLine="850"/>
        <w:jc w:val="both"/>
        <w:rPr/>
      </w:pPr>
      <w:r>
        <w:rPr>
          <w:rFonts w:ascii="Times New Roman" w:hAnsi="Times New Roman"/>
          <w:sz w:val="28"/>
        </w:rPr>
        <w:t>для судов возрастом от 16 до 25 лет - 15 баллов;</w:t>
      </w:r>
    </w:p>
    <w:p>
      <w:pPr>
        <w:pStyle w:val="Normal"/>
        <w:spacing w:lineRule="auto" w:line="240" w:before="0" w:after="0"/>
        <w:ind w:left="0" w:right="0" w:firstLine="850"/>
        <w:jc w:val="both"/>
        <w:rPr/>
      </w:pPr>
      <w:r>
        <w:rPr>
          <w:rFonts w:ascii="Times New Roman" w:hAnsi="Times New Roman"/>
          <w:sz w:val="28"/>
        </w:rPr>
        <w:t>для судов возрастом от 26 до 35 лет - 20 баллов;</w:t>
      </w:r>
    </w:p>
    <w:p>
      <w:pPr>
        <w:pStyle w:val="Normal"/>
        <w:spacing w:lineRule="auto" w:line="240" w:before="0" w:after="0"/>
        <w:ind w:left="0" w:right="0" w:firstLine="850"/>
        <w:jc w:val="both"/>
        <w:rPr/>
      </w:pPr>
      <w:r>
        <w:rPr>
          <w:rFonts w:ascii="Times New Roman" w:hAnsi="Times New Roman"/>
          <w:sz w:val="28"/>
        </w:rPr>
        <w:t>для судов возрастом старше 35 лет - 20 баллов, увеличенные на 1 балл</w:t>
        <w:br/>
        <w:t>за каждый год, превышающий 35 лет.</w:t>
      </w:r>
    </w:p>
    <w:p>
      <w:pPr>
        <w:pStyle w:val="Normal"/>
        <w:spacing w:lineRule="auto" w:line="240" w:before="0" w:after="0"/>
        <w:ind w:left="0" w:right="0" w:firstLine="850"/>
        <w:jc w:val="both"/>
        <w:rPr/>
      </w:pPr>
      <w:r>
        <w:rPr>
          <w:rFonts w:ascii="Times New Roman" w:hAnsi="Times New Roman"/>
          <w:sz w:val="28"/>
        </w:rPr>
        <w:t>3. Для оценки вероятности несоблюдения обязательных требований на судне используются следующие критерии:</w:t>
      </w:r>
    </w:p>
    <w:p>
      <w:pPr>
        <w:pStyle w:val="Normal"/>
        <w:spacing w:lineRule="auto" w:line="240" w:before="0" w:after="0"/>
        <w:ind w:left="0" w:right="0" w:firstLine="850"/>
        <w:jc w:val="both"/>
        <w:rPr/>
      </w:pPr>
      <w:r>
        <w:rPr>
          <w:rFonts w:ascii="Times New Roman" w:hAnsi="Times New Roman"/>
          <w:sz w:val="28"/>
        </w:rPr>
        <w:t>количество нарушений обязательных требований, выявленных при проверке судна органами государственного портового контроля в течение предыдущего календарного года: за каждое нарушение - 1 балл;</w:t>
      </w:r>
    </w:p>
    <w:p>
      <w:pPr>
        <w:pStyle w:val="Normal"/>
        <w:spacing w:lineRule="auto" w:line="240" w:before="0" w:after="0"/>
        <w:ind w:left="0" w:right="0" w:firstLine="850"/>
        <w:jc w:val="both"/>
        <w:rPr/>
      </w:pPr>
      <w:r>
        <w:rPr>
          <w:rFonts w:ascii="Times New Roman" w:hAnsi="Times New Roman"/>
          <w:sz w:val="28"/>
        </w:rPr>
        <w:t>количество временных задержаний судна органами государственного портового контроля в течение предыдущего календарного года:</w:t>
      </w:r>
    </w:p>
    <w:p>
      <w:pPr>
        <w:pStyle w:val="Normal"/>
        <w:spacing w:lineRule="auto" w:line="240" w:before="0" w:after="0"/>
        <w:ind w:left="0" w:right="0" w:firstLine="850"/>
        <w:jc w:val="both"/>
        <w:rPr/>
      </w:pPr>
      <w:r>
        <w:rPr>
          <w:rFonts w:ascii="Times New Roman" w:hAnsi="Times New Roman"/>
          <w:sz w:val="28"/>
        </w:rPr>
        <w:t>при 1 временном задержании - 10 баллов;</w:t>
      </w:r>
    </w:p>
    <w:p>
      <w:pPr>
        <w:pStyle w:val="Normal"/>
        <w:spacing w:lineRule="auto" w:line="240" w:before="0" w:after="0"/>
        <w:ind w:left="0" w:right="0" w:firstLine="850"/>
        <w:jc w:val="both"/>
        <w:rPr/>
      </w:pPr>
      <w:r>
        <w:rPr>
          <w:rFonts w:ascii="Times New Roman" w:hAnsi="Times New Roman"/>
          <w:sz w:val="28"/>
        </w:rPr>
        <w:t>при 2 временных задержаниях - 20 баллов;</w:t>
      </w:r>
    </w:p>
    <w:p>
      <w:pPr>
        <w:pStyle w:val="Normal"/>
        <w:spacing w:lineRule="auto" w:line="240" w:before="0" w:after="0"/>
        <w:ind w:left="0" w:right="0" w:firstLine="850"/>
        <w:jc w:val="both"/>
        <w:rPr/>
      </w:pPr>
      <w:r>
        <w:rPr>
          <w:rFonts w:ascii="Times New Roman" w:hAnsi="Times New Roman"/>
          <w:sz w:val="28"/>
        </w:rPr>
        <w:t>при 3 и более временных задержаний - 30 баллов.</w:t>
      </w:r>
    </w:p>
    <w:p>
      <w:pPr>
        <w:pStyle w:val="Normal"/>
        <w:spacing w:lineRule="auto" w:line="240" w:before="0" w:after="0"/>
        <w:ind w:left="0" w:right="0" w:firstLine="850"/>
        <w:jc w:val="both"/>
        <w:rPr/>
      </w:pPr>
      <w:r>
        <w:rPr>
          <w:rFonts w:ascii="Times New Roman" w:hAnsi="Times New Roman"/>
          <w:sz w:val="28"/>
        </w:rPr>
        <w:t>При отсутствии нарушений обязательных требований, выявленных</w:t>
        <w:br/>
        <w:t>по результатам каждой проверки, проведенной органами государственного портового контроля в отношении судна в течение предыдущего календарного года, сумма баллов по оценке вероятности несоблюдения указанных требований уменьшается на 5 баллов.</w:t>
      </w:r>
    </w:p>
    <w:p>
      <w:pPr>
        <w:pStyle w:val="Normal"/>
        <w:spacing w:lineRule="auto" w:line="240" w:before="0" w:after="0"/>
        <w:ind w:left="0" w:right="0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4. Итоговые баллы оценки категории риска судна и деятельности</w:t>
        <w:br/>
        <w:t>по его эксплуатации определяются суммированием баллов, начисленных судну</w:t>
        <w:br/>
        <w:t>по каждому параметру и критерию.</w:t>
      </w:r>
    </w:p>
    <w:p>
      <w:pPr>
        <w:pStyle w:val="Normal"/>
        <w:spacing w:lineRule="auto" w:line="240" w:before="0" w:after="0"/>
        <w:ind w:left="0" w:right="0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5. К значительной категории риска относятся судно и деятельность</w:t>
        <w:br/>
        <w:t>по его эксплуатации при начислении суммы баллов оценки категории рисков судна более 60.</w:t>
      </w:r>
    </w:p>
    <w:p>
      <w:pPr>
        <w:pStyle w:val="Normal"/>
        <w:spacing w:lineRule="auto" w:line="240" w:before="0" w:after="0"/>
        <w:ind w:left="0" w:right="0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6. К средней категории риска относятся судно и деятельность</w:t>
        <w:br/>
        <w:t>по его эксплуатации при начислении суммы баллов оценки категории рисков судна в пределах от 41 до 60.</w:t>
      </w:r>
    </w:p>
    <w:p>
      <w:pPr>
        <w:pStyle w:val="Normal"/>
        <w:spacing w:lineRule="auto" w:line="240" w:before="0" w:after="0"/>
        <w:ind w:left="0" w:right="0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7. К низкой категории риска относятся судно и деятельность</w:t>
        <w:br/>
        <w:t>по его эксплуатации при начислении суммы баллов оценки категории рисков судна менее или равной 40.</w:t>
      </w:r>
    </w:p>
    <w:p>
      <w:pPr>
        <w:pStyle w:val="Normal"/>
        <w:spacing w:lineRule="auto" w:line="240" w:before="0" w:after="0"/>
        <w:ind w:left="0" w:right="0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8. При наличии критериев, позволяющих отнести судно и деятельность</w:t>
        <w:br/>
        <w:t>по его эксплуатации к различным категориям риска, подлежит применению критерий, позволяющий отнести деятельность контролируемого лица к более высокой категории риска.</w:t>
      </w:r>
    </w:p>
    <w:p>
      <w:pPr>
        <w:pStyle w:val="Normal"/>
        <w:spacing w:lineRule="auto" w:line="240" w:before="0" w:after="0"/>
        <w:ind w:left="0" w:right="0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9. При выявлении в течение календарного года, предшествующего дате принятия решения об отнесении судна и деятельности по его эксплуатации</w:t>
        <w:br/>
        <w:t>к категории риска, аварии или инцидента с судном, отнесенном на учет контролируемого лица категория риска судну и деятельности по его эксплуатации повышается на одну категорию риска.».</w:t>
      </w:r>
    </w:p>
    <w:sectPr>
      <w:headerReference w:type="default" r:id="rId2"/>
      <w:headerReference w:type="first" r:id="rId3"/>
      <w:type w:val="nextPage"/>
      <w:pgSz w:w="11906" w:h="16838"/>
      <w:pgMar w:left="1134" w:right="567" w:header="709" w:top="1135" w:footer="0" w:bottom="1134" w:gutter="0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XO Thames">
    <w:charset w:val="01"/>
    <w:family w:val="roman"/>
    <w:pitch w:val="variable"/>
  </w:font>
  <w:font w:name="Arial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3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fldChar w:fldCharType="begin"/>
    </w:r>
    <w:r>
      <w:rPr>
        <w:sz w:val="24"/>
        <w:szCs w:val="24"/>
        <w:rFonts w:ascii="Times New Roman" w:hAnsi="Times New Roman"/>
      </w:rPr>
      <w:instrText> PAGE </w:instrText>
    </w:r>
    <w:r>
      <w:rPr>
        <w:sz w:val="24"/>
        <w:szCs w:val="24"/>
        <w:rFonts w:ascii="Times New Roman" w:hAnsi="Times New Roman"/>
      </w:rPr>
      <w:fldChar w:fldCharType="separate"/>
    </w:r>
    <w:r>
      <w:rPr>
        <w:sz w:val="24"/>
        <w:szCs w:val="24"/>
        <w:rFonts w:ascii="Times New Roman" w:hAnsi="Times New Roman"/>
      </w:rPr>
      <w:t>4</w:t>
    </w:r>
    <w:r>
      <w:rPr>
        <w:sz w:val="24"/>
        <w:szCs w:val="24"/>
        <w:rFonts w:ascii="Times New Roman" w:hAnsi="Times New Roman"/>
      </w:rPr>
      <w:fldChar w:fldCharType="end"/>
    </w:r>
  </w:p>
  <w:p>
    <w:pPr>
      <w:pStyle w:val="Style23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3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Times New Roman" w:asciiTheme="minorHAnsi" w:hAnsiTheme="minorHAnsi"/>
        <w:color w:val="000000"/>
        <w:sz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link w:val="836"/>
    <w:qFormat/>
    <w:pPr>
      <w:widowControl/>
      <w:suppressAutoHyphens w:val="true"/>
      <w:bidi w:val="0"/>
      <w:spacing w:lineRule="auto" w:line="264" w:beforeAutospacing="0" w:before="0" w:afterAutospacing="0" w:after="160"/>
      <w:jc w:val="left"/>
    </w:pPr>
    <w:rPr>
      <w:rFonts w:ascii="Calibri" w:hAnsi="Calibri" w:eastAsia="Times New Roman" w:cs="Times New Roman" w:asciiTheme="minorHAnsi" w:hAnsiTheme="minorHAnsi"/>
      <w:color w:val="000000"/>
      <w:kern w:val="0"/>
      <w:sz w:val="22"/>
      <w:szCs w:val="20"/>
      <w:lang w:val="ru-RU" w:eastAsia="ru-RU" w:bidi="ar-SA"/>
    </w:rPr>
  </w:style>
  <w:style w:type="paragraph" w:styleId="1">
    <w:name w:val="Heading 1"/>
    <w:next w:val="Normal"/>
    <w:link w:val="854"/>
    <w:uiPriority w:val="9"/>
    <w:qFormat/>
    <w:pPr>
      <w:widowControl/>
      <w:suppressAutoHyphens w:val="true"/>
      <w:bidi w:val="0"/>
      <w:spacing w:lineRule="auto" w:line="264" w:beforeAutospacing="0" w:before="120" w:afterAutospacing="0" w:after="120"/>
      <w:jc w:val="both"/>
      <w:outlineLvl w:val="0"/>
    </w:pPr>
    <w:rPr>
      <w:rFonts w:ascii="XO Thames" w:hAnsi="XO Thames" w:eastAsia="Times New Roman" w:cs="Times New Roman"/>
      <w:b/>
      <w:color w:val="000000"/>
      <w:kern w:val="0"/>
      <w:sz w:val="32"/>
      <w:szCs w:val="20"/>
      <w:lang w:val="ru-RU" w:eastAsia="ru-RU" w:bidi="ar-SA"/>
    </w:rPr>
  </w:style>
  <w:style w:type="paragraph" w:styleId="2">
    <w:name w:val="Heading 2"/>
    <w:next w:val="Normal"/>
    <w:link w:val="878"/>
    <w:uiPriority w:val="9"/>
    <w:qFormat/>
    <w:pPr>
      <w:widowControl/>
      <w:suppressAutoHyphens w:val="true"/>
      <w:bidi w:val="0"/>
      <w:spacing w:lineRule="auto" w:line="264" w:beforeAutospacing="0" w:before="120" w:afterAutospacing="0" w:after="120"/>
      <w:jc w:val="both"/>
      <w:outlineLvl w:val="1"/>
    </w:pPr>
    <w:rPr>
      <w:rFonts w:ascii="XO Thames" w:hAnsi="XO Thames" w:eastAsia="Times New Roman" w:cs="Times New Roman"/>
      <w:b/>
      <w:color w:val="000000"/>
      <w:kern w:val="0"/>
      <w:sz w:val="28"/>
      <w:szCs w:val="20"/>
      <w:lang w:val="ru-RU" w:eastAsia="ru-RU" w:bidi="ar-SA"/>
    </w:rPr>
  </w:style>
  <w:style w:type="paragraph" w:styleId="3">
    <w:name w:val="Heading 3"/>
    <w:next w:val="Normal"/>
    <w:link w:val="845"/>
    <w:uiPriority w:val="9"/>
    <w:qFormat/>
    <w:pPr>
      <w:widowControl/>
      <w:suppressAutoHyphens w:val="true"/>
      <w:bidi w:val="0"/>
      <w:spacing w:lineRule="auto" w:line="264" w:beforeAutospacing="0" w:before="120" w:afterAutospacing="0" w:after="120"/>
      <w:jc w:val="both"/>
      <w:outlineLvl w:val="2"/>
    </w:pPr>
    <w:rPr>
      <w:rFonts w:ascii="XO Thames" w:hAnsi="XO Thames" w:eastAsia="Times New Roman" w:cs="Times New Roman"/>
      <w:b/>
      <w:color w:val="000000"/>
      <w:kern w:val="0"/>
      <w:sz w:val="26"/>
      <w:szCs w:val="20"/>
      <w:lang w:val="ru-RU" w:eastAsia="ru-RU" w:bidi="ar-SA"/>
    </w:rPr>
  </w:style>
  <w:style w:type="paragraph" w:styleId="4">
    <w:name w:val="Heading 4"/>
    <w:next w:val="Normal"/>
    <w:link w:val="877"/>
    <w:uiPriority w:val="9"/>
    <w:qFormat/>
    <w:pPr>
      <w:widowControl/>
      <w:suppressAutoHyphens w:val="true"/>
      <w:bidi w:val="0"/>
      <w:spacing w:lineRule="auto" w:line="264" w:beforeAutospacing="0" w:before="120" w:afterAutospacing="0" w:after="120"/>
      <w:jc w:val="both"/>
      <w:outlineLvl w:val="3"/>
    </w:pPr>
    <w:rPr>
      <w:rFonts w:ascii="XO Thames" w:hAnsi="XO Thames" w:eastAsia="Times New Roman" w:cs="Times New Roman"/>
      <w:b/>
      <w:color w:val="000000"/>
      <w:kern w:val="0"/>
      <w:sz w:val="24"/>
      <w:szCs w:val="20"/>
      <w:lang w:val="ru-RU" w:eastAsia="ru-RU" w:bidi="ar-SA"/>
    </w:rPr>
  </w:style>
  <w:style w:type="paragraph" w:styleId="5">
    <w:name w:val="Heading 5"/>
    <w:next w:val="Normal"/>
    <w:link w:val="852"/>
    <w:uiPriority w:val="9"/>
    <w:qFormat/>
    <w:pPr>
      <w:widowControl/>
      <w:suppressAutoHyphens w:val="true"/>
      <w:bidi w:val="0"/>
      <w:spacing w:lineRule="auto" w:line="264" w:beforeAutospacing="0" w:before="120" w:afterAutospacing="0" w:after="120"/>
      <w:jc w:val="both"/>
      <w:outlineLvl w:val="4"/>
    </w:pPr>
    <w:rPr>
      <w:rFonts w:ascii="XO Thames" w:hAnsi="XO Thames" w:eastAsia="Times New Roman" w:cs="Times New Roman"/>
      <w:b/>
      <w:color w:val="000000"/>
      <w:kern w:val="0"/>
      <w:sz w:val="22"/>
      <w:szCs w:val="20"/>
      <w:lang w:val="ru-RU" w:eastAsia="ru-RU" w:bidi="ar-SA"/>
    </w:rPr>
  </w:style>
  <w:style w:type="paragraph" w:styleId="6">
    <w:name w:val="Heading 6"/>
    <w:basedOn w:val="Normal"/>
    <w:next w:val="Normal"/>
    <w:link w:val="676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">
    <w:name w:val="Heading 7"/>
    <w:basedOn w:val="Normal"/>
    <w:next w:val="Normal"/>
    <w:link w:val="678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8">
    <w:name w:val="Heading 8"/>
    <w:basedOn w:val="Normal"/>
    <w:next w:val="Normal"/>
    <w:link w:val="680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9">
    <w:name w:val="Heading 9"/>
    <w:basedOn w:val="Normal"/>
    <w:next w:val="Normal"/>
    <w:link w:val="682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basedOn w:val="DefaultParagraphFont"/>
    <w:link w:val="828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basedOn w:val="DefaultParagraphFont"/>
    <w:link w:val="829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basedOn w:val="DefaultParagraphFont"/>
    <w:link w:val="830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basedOn w:val="DefaultParagraphFont"/>
    <w:link w:val="831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basedOn w:val="DefaultParagraphFont"/>
    <w:link w:val="832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basedOn w:val="DefaultParagraphFont"/>
    <w:link w:val="675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basedOn w:val="DefaultParagraphFont"/>
    <w:link w:val="677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basedOn w:val="DefaultParagraphFont"/>
    <w:link w:val="679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basedOn w:val="DefaultParagraphFont"/>
    <w:link w:val="681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basedOn w:val="DefaultParagraphFont"/>
    <w:link w:val="875"/>
    <w:uiPriority w:val="10"/>
    <w:qFormat/>
    <w:rPr>
      <w:sz w:val="48"/>
      <w:szCs w:val="48"/>
    </w:rPr>
  </w:style>
  <w:style w:type="character" w:styleId="SubtitleChar">
    <w:name w:val="Subtitle Char"/>
    <w:basedOn w:val="DefaultParagraphFont"/>
    <w:link w:val="873"/>
    <w:uiPriority w:val="11"/>
    <w:qFormat/>
    <w:rPr>
      <w:sz w:val="24"/>
      <w:szCs w:val="24"/>
    </w:rPr>
  </w:style>
  <w:style w:type="character" w:styleId="QuoteChar">
    <w:name w:val="Quote Char"/>
    <w:link w:val="686"/>
    <w:uiPriority w:val="29"/>
    <w:qFormat/>
    <w:rPr>
      <w:i/>
    </w:rPr>
  </w:style>
  <w:style w:type="character" w:styleId="IntenseQuoteChar">
    <w:name w:val="Intense Quote Char"/>
    <w:link w:val="688"/>
    <w:uiPriority w:val="30"/>
    <w:qFormat/>
    <w:rPr>
      <w:i/>
    </w:rPr>
  </w:style>
  <w:style w:type="character" w:styleId="HeaderChar">
    <w:name w:val="Header Char"/>
    <w:basedOn w:val="DefaultParagraphFont"/>
    <w:link w:val="855"/>
    <w:uiPriority w:val="99"/>
    <w:qFormat/>
    <w:rPr/>
  </w:style>
  <w:style w:type="character" w:styleId="FooterChar">
    <w:name w:val="Footer Char"/>
    <w:basedOn w:val="DefaultParagraphFont"/>
    <w:link w:val="850"/>
    <w:uiPriority w:val="99"/>
    <w:qFormat/>
    <w:rPr/>
  </w:style>
  <w:style w:type="character" w:styleId="CaptionChar">
    <w:name w:val="Caption Char"/>
    <w:basedOn w:val="DefaultParagraphFont"/>
    <w:link w:val="692"/>
    <w:uiPriority w:val="35"/>
    <w:qFormat/>
    <w:rPr>
      <w:b/>
      <w:bCs/>
      <w:color w:val="4F81BD" w:themeColor="accent1"/>
      <w:sz w:val="18"/>
      <w:szCs w:val="18"/>
    </w:rPr>
  </w:style>
  <w:style w:type="character" w:styleId="FootnoteTextChar">
    <w:name w:val="Footnote Text Char"/>
    <w:link w:val="819"/>
    <w:uiPriority w:val="99"/>
    <w:qFormat/>
    <w:rPr>
      <w:sz w:val="18"/>
    </w:rPr>
  </w:style>
  <w:style w:type="character" w:styleId="Style5">
    <w:name w:val="Привязка сноски"/>
    <w:rPr>
      <w:vertAlign w:val="superscript"/>
    </w:rPr>
  </w:style>
  <w:style w:type="character" w:styleId="FootnoteCharacters">
    <w:name w:val="Footnote Characters"/>
    <w:basedOn w:val="DefaultParagraphFont"/>
    <w:uiPriority w:val="99"/>
    <w:unhideWhenUsed/>
    <w:qFormat/>
    <w:rPr>
      <w:vertAlign w:val="superscript"/>
    </w:rPr>
  </w:style>
  <w:style w:type="character" w:styleId="EndnoteTextChar">
    <w:name w:val="Endnote Text Char"/>
    <w:link w:val="822"/>
    <w:uiPriority w:val="99"/>
    <w:qFormat/>
    <w:rPr>
      <w:sz w:val="20"/>
    </w:rPr>
  </w:style>
  <w:style w:type="character" w:styleId="Style6">
    <w:name w:val="Привязка концевой сноски"/>
    <w:rPr>
      <w:vertAlign w:val="superscript"/>
    </w:rPr>
  </w:style>
  <w:style w:type="character" w:styleId="EndnoteCharacters">
    <w:name w:val="Endnote Characters"/>
    <w:basedOn w:val="DefaultParagraphFont"/>
    <w:uiPriority w:val="99"/>
    <w:semiHidden/>
    <w:unhideWhenUsed/>
    <w:qFormat/>
    <w:rPr>
      <w:vertAlign w:val="superscrip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Обычный1"/>
    <w:qFormat/>
    <w:rPr/>
  </w:style>
  <w:style w:type="character" w:styleId="21" w:customStyle="1">
    <w:name w:val="Оглавление 2 Знак"/>
    <w:link w:val="837"/>
    <w:qFormat/>
    <w:rPr>
      <w:rFonts w:ascii="XO Thames" w:hAnsi="XO Thames"/>
      <w:sz w:val="28"/>
    </w:rPr>
  </w:style>
  <w:style w:type="character" w:styleId="41" w:customStyle="1">
    <w:name w:val="Оглавление 4 Знак"/>
    <w:link w:val="839"/>
    <w:qFormat/>
    <w:rPr>
      <w:rFonts w:ascii="XO Thames" w:hAnsi="XO Thames"/>
      <w:sz w:val="28"/>
    </w:rPr>
  </w:style>
  <w:style w:type="character" w:styleId="61" w:customStyle="1">
    <w:name w:val="Оглавление 6 Знак"/>
    <w:link w:val="841"/>
    <w:qFormat/>
    <w:rPr>
      <w:rFonts w:ascii="XO Thames" w:hAnsi="XO Thames"/>
      <w:sz w:val="28"/>
    </w:rPr>
  </w:style>
  <w:style w:type="character" w:styleId="71" w:customStyle="1">
    <w:name w:val="Оглавление 7 Знак"/>
    <w:link w:val="843"/>
    <w:qFormat/>
    <w:rPr>
      <w:rFonts w:ascii="XO Thames" w:hAnsi="XO Thames"/>
      <w:sz w:val="28"/>
    </w:rPr>
  </w:style>
  <w:style w:type="character" w:styleId="31" w:customStyle="1">
    <w:name w:val="Заголовок 3 Знак"/>
    <w:link w:val="830"/>
    <w:qFormat/>
    <w:rPr>
      <w:rFonts w:ascii="XO Thames" w:hAnsi="XO Thames"/>
      <w:b/>
      <w:sz w:val="26"/>
    </w:rPr>
  </w:style>
  <w:style w:type="character" w:styleId="Style7" w:customStyle="1">
    <w:name w:val="Текст выноски Знак"/>
    <w:basedOn w:val="11"/>
    <w:link w:val="846"/>
    <w:qFormat/>
    <w:rPr>
      <w:rFonts w:ascii="Segoe UI" w:hAnsi="Segoe UI"/>
      <w:sz w:val="18"/>
    </w:rPr>
  </w:style>
  <w:style w:type="character" w:styleId="32" w:customStyle="1">
    <w:name w:val="Оглавление 3 Знак"/>
    <w:link w:val="848"/>
    <w:qFormat/>
    <w:rPr>
      <w:rFonts w:ascii="XO Thames" w:hAnsi="XO Thames"/>
      <w:sz w:val="28"/>
    </w:rPr>
  </w:style>
  <w:style w:type="character" w:styleId="Style8" w:customStyle="1">
    <w:name w:val="Нижний колонтитул Знак"/>
    <w:basedOn w:val="11"/>
    <w:link w:val="850"/>
    <w:qFormat/>
    <w:rPr/>
  </w:style>
  <w:style w:type="character" w:styleId="51" w:customStyle="1">
    <w:name w:val="Заголовок 5 Знак"/>
    <w:link w:val="832"/>
    <w:qFormat/>
    <w:rPr>
      <w:rFonts w:ascii="XO Thames" w:hAnsi="XO Thames"/>
      <w:b/>
      <w:sz w:val="22"/>
    </w:rPr>
  </w:style>
  <w:style w:type="character" w:styleId="12" w:customStyle="1">
    <w:name w:val="Заголовок 1 Знак"/>
    <w:link w:val="828"/>
    <w:qFormat/>
    <w:rPr>
      <w:rFonts w:ascii="XO Thames" w:hAnsi="XO Thames"/>
      <w:b/>
      <w:sz w:val="32"/>
    </w:rPr>
  </w:style>
  <w:style w:type="character" w:styleId="Style9" w:customStyle="1">
    <w:name w:val="Верхний колонтитул Знак"/>
    <w:basedOn w:val="11"/>
    <w:link w:val="855"/>
    <w:qFormat/>
    <w:rPr/>
  </w:style>
  <w:style w:type="character" w:styleId="Style10">
    <w:name w:val="Интернет-ссылка"/>
    <w:link w:val="857"/>
    <w:rPr>
      <w:color w:val="0000FF"/>
      <w:u w:val="single"/>
    </w:rPr>
  </w:style>
  <w:style w:type="character" w:styleId="Footnote" w:customStyle="1">
    <w:name w:val="Footnote"/>
    <w:link w:val="859"/>
    <w:qFormat/>
    <w:rPr>
      <w:rFonts w:ascii="XO Thames" w:hAnsi="XO Thames"/>
      <w:sz w:val="22"/>
    </w:rPr>
  </w:style>
  <w:style w:type="character" w:styleId="13" w:customStyle="1">
    <w:name w:val="Оглавление 1 Знак"/>
    <w:link w:val="861"/>
    <w:qFormat/>
    <w:rPr>
      <w:rFonts w:ascii="XO Thames" w:hAnsi="XO Thames"/>
      <w:b/>
      <w:sz w:val="28"/>
    </w:rPr>
  </w:style>
  <w:style w:type="character" w:styleId="HeaderandFooter" w:customStyle="1">
    <w:name w:val="Header and Footer"/>
    <w:link w:val="863"/>
    <w:qFormat/>
    <w:rPr>
      <w:rFonts w:ascii="XO Thames" w:hAnsi="XO Thames"/>
      <w:sz w:val="20"/>
    </w:rPr>
  </w:style>
  <w:style w:type="character" w:styleId="91" w:customStyle="1">
    <w:name w:val="Оглавление 9 Знак"/>
    <w:link w:val="865"/>
    <w:qFormat/>
    <w:rPr>
      <w:rFonts w:ascii="XO Thames" w:hAnsi="XO Thames"/>
      <w:sz w:val="28"/>
    </w:rPr>
  </w:style>
  <w:style w:type="character" w:styleId="Style11" w:customStyle="1">
    <w:name w:val="Абзац списка Знак"/>
    <w:basedOn w:val="11"/>
    <w:link w:val="867"/>
    <w:qFormat/>
    <w:rPr/>
  </w:style>
  <w:style w:type="character" w:styleId="81" w:customStyle="1">
    <w:name w:val="Оглавление 8 Знак"/>
    <w:link w:val="869"/>
    <w:qFormat/>
    <w:rPr>
      <w:rFonts w:ascii="XO Thames" w:hAnsi="XO Thames"/>
      <w:sz w:val="28"/>
    </w:rPr>
  </w:style>
  <w:style w:type="character" w:styleId="52" w:customStyle="1">
    <w:name w:val="Оглавление 5 Знак"/>
    <w:link w:val="871"/>
    <w:qFormat/>
    <w:rPr>
      <w:rFonts w:ascii="XO Thames" w:hAnsi="XO Thames"/>
      <w:sz w:val="28"/>
    </w:rPr>
  </w:style>
  <w:style w:type="character" w:styleId="Style12" w:customStyle="1">
    <w:name w:val="Подзаголовок Знак"/>
    <w:link w:val="873"/>
    <w:qFormat/>
    <w:rPr>
      <w:rFonts w:ascii="XO Thames" w:hAnsi="XO Thames"/>
      <w:i/>
      <w:sz w:val="24"/>
    </w:rPr>
  </w:style>
  <w:style w:type="character" w:styleId="Style13" w:customStyle="1">
    <w:name w:val="Название Знак"/>
    <w:link w:val="875"/>
    <w:qFormat/>
    <w:rPr>
      <w:rFonts w:ascii="XO Thames" w:hAnsi="XO Thames"/>
      <w:b/>
      <w:caps/>
      <w:sz w:val="40"/>
    </w:rPr>
  </w:style>
  <w:style w:type="character" w:styleId="42" w:customStyle="1">
    <w:name w:val="Заголовок 4 Знак"/>
    <w:link w:val="831"/>
    <w:qFormat/>
    <w:rPr>
      <w:rFonts w:ascii="XO Thames" w:hAnsi="XO Thames"/>
      <w:b/>
      <w:sz w:val="24"/>
    </w:rPr>
  </w:style>
  <w:style w:type="character" w:styleId="22" w:customStyle="1">
    <w:name w:val="Заголовок 2 Знак"/>
    <w:link w:val="829"/>
    <w:qFormat/>
    <w:rPr>
      <w:rFonts w:ascii="XO Thames" w:hAnsi="XO Thames"/>
      <w:b/>
      <w:sz w:val="28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Tahoma" w:cs="Droid Sans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Droid Sans Devanagari"/>
    </w:rPr>
  </w:style>
  <w:style w:type="paragraph" w:styleId="Style17">
    <w:name w:val="Caption"/>
    <w:basedOn w:val="Normal"/>
    <w:next w:val="Normal"/>
    <w:link w:val="693"/>
    <w:uiPriority w:val="35"/>
    <w:semiHidden/>
    <w:unhideWhenUsed/>
    <w:qFormat/>
    <w:pPr>
      <w:spacing w:lineRule="auto" w:line="276"/>
    </w:pPr>
    <w:rPr>
      <w:b/>
      <w:bCs/>
      <w:color w:val="4F81BD" w:themeColor="accent1"/>
      <w:sz w:val="18"/>
      <w:szCs w:val="18"/>
    </w:rPr>
  </w:style>
  <w:style w:type="paragraph" w:styleId="Style18">
    <w:name w:val="Указатель"/>
    <w:basedOn w:val="Normal"/>
    <w:qFormat/>
    <w:pPr>
      <w:suppressLineNumbers/>
    </w:pPr>
    <w:rPr>
      <w:rFonts w:cs="Droid Sans Devanagari"/>
    </w:rPr>
  </w:style>
  <w:style w:type="paragraph" w:styleId="NoSpacing">
    <w:name w:val="No Spacing"/>
    <w:uiPriority w:val="1"/>
    <w:qFormat/>
    <w:pPr>
      <w:widowControl/>
      <w:suppressAutoHyphens w:val="true"/>
      <w:bidi w:val="0"/>
      <w:spacing w:lineRule="auto" w:line="240" w:beforeAutospacing="0" w:before="0" w:afterAutospacing="0" w:after="0"/>
      <w:jc w:val="left"/>
    </w:pPr>
    <w:rPr>
      <w:rFonts w:ascii="Calibri" w:hAnsi="Calibri" w:eastAsia="Times New Roman" w:cs="Times New Roman" w:asciiTheme="minorHAnsi" w:hAnsiTheme="minorHAnsi"/>
      <w:color w:val="000000"/>
      <w:kern w:val="0"/>
      <w:sz w:val="22"/>
      <w:szCs w:val="20"/>
      <w:lang w:val="ru-RU" w:eastAsia="ru-RU" w:bidi="ar-SA"/>
    </w:rPr>
  </w:style>
  <w:style w:type="paragraph" w:styleId="Quote">
    <w:name w:val="Quote"/>
    <w:basedOn w:val="Normal"/>
    <w:next w:val="Normal"/>
    <w:link w:val="687"/>
    <w:uiPriority w:val="29"/>
    <w:qFormat/>
    <w:pPr>
      <w:ind w:left="720" w:right="720" w:hanging="0"/>
    </w:pPr>
    <w:rPr>
      <w:i/>
    </w:rPr>
  </w:style>
  <w:style w:type="paragraph" w:styleId="IntenseQuote">
    <w:name w:val="Intense Quote"/>
    <w:basedOn w:val="Normal"/>
    <w:next w:val="Normal"/>
    <w:link w:val="68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160"/>
      <w:ind w:left="720" w:right="720" w:hanging="0"/>
    </w:pPr>
    <w:rPr>
      <w:i/>
    </w:rPr>
  </w:style>
  <w:style w:type="paragraph" w:styleId="Style19">
    <w:name w:val="Footnote Text"/>
    <w:basedOn w:val="Normal"/>
    <w:link w:val="820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Style20">
    <w:name w:val="Endnote Text"/>
    <w:basedOn w:val="Normal"/>
    <w:link w:val="823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lineRule="auto" w:line="264" w:beforeAutospacing="0" w:before="0" w:afterAutospacing="0" w:after="160"/>
      <w:jc w:val="left"/>
    </w:pPr>
    <w:rPr>
      <w:rFonts w:ascii="Calibri" w:hAnsi="Calibri" w:eastAsia="Times New Roman" w:cs="Times New Roman" w:asciiTheme="minorHAnsi" w:hAnsiTheme="minorHAnsi"/>
      <w:color w:val="000000"/>
      <w:kern w:val="0"/>
      <w:sz w:val="22"/>
      <w:szCs w:val="20"/>
      <w:lang w:val="ru-RU" w:eastAsia="ru-RU" w:bidi="ar-SA"/>
    </w:rPr>
  </w:style>
  <w:style w:type="paragraph" w:styleId="Tableoffigures">
    <w:name w:val="table of figures"/>
    <w:basedOn w:val="Normal"/>
    <w:next w:val="Normal"/>
    <w:uiPriority w:val="99"/>
    <w:unhideWhenUsed/>
    <w:qFormat/>
    <w:pPr>
      <w:spacing w:before="0" w:afterAutospacing="0" w:after="0"/>
    </w:pPr>
    <w:rPr/>
  </w:style>
  <w:style w:type="paragraph" w:styleId="23">
    <w:name w:val="TOC 2"/>
    <w:next w:val="Normal"/>
    <w:link w:val="838"/>
    <w:uiPriority w:val="39"/>
    <w:pPr>
      <w:widowControl/>
      <w:suppressAutoHyphens w:val="true"/>
      <w:bidi w:val="0"/>
      <w:spacing w:lineRule="auto" w:line="264" w:beforeAutospacing="0" w:before="0" w:afterAutospacing="0" w:after="160"/>
      <w:ind w:left="200" w:hanging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43">
    <w:name w:val="TOC 4"/>
    <w:next w:val="Normal"/>
    <w:link w:val="840"/>
    <w:uiPriority w:val="39"/>
    <w:pPr>
      <w:widowControl/>
      <w:suppressAutoHyphens w:val="true"/>
      <w:bidi w:val="0"/>
      <w:spacing w:lineRule="auto" w:line="264" w:beforeAutospacing="0" w:before="0" w:afterAutospacing="0" w:after="160"/>
      <w:ind w:left="600" w:hanging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62">
    <w:name w:val="TOC 6"/>
    <w:next w:val="Normal"/>
    <w:link w:val="842"/>
    <w:uiPriority w:val="39"/>
    <w:pPr>
      <w:widowControl/>
      <w:suppressAutoHyphens w:val="true"/>
      <w:bidi w:val="0"/>
      <w:spacing w:lineRule="auto" w:line="264" w:beforeAutospacing="0" w:before="0" w:afterAutospacing="0" w:after="160"/>
      <w:ind w:left="1000" w:hanging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72">
    <w:name w:val="TOC 7"/>
    <w:next w:val="Normal"/>
    <w:link w:val="844"/>
    <w:uiPriority w:val="39"/>
    <w:pPr>
      <w:widowControl/>
      <w:suppressAutoHyphens w:val="true"/>
      <w:bidi w:val="0"/>
      <w:spacing w:lineRule="auto" w:line="264" w:beforeAutospacing="0" w:before="0" w:afterAutospacing="0" w:after="160"/>
      <w:ind w:left="1200" w:hanging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BalloonText">
    <w:name w:val="Balloon Text"/>
    <w:basedOn w:val="Normal"/>
    <w:link w:val="847"/>
    <w:qFormat/>
    <w:pPr>
      <w:spacing w:lineRule="auto" w:line="240" w:before="0" w:after="0"/>
    </w:pPr>
    <w:rPr>
      <w:rFonts w:ascii="Segoe UI" w:hAnsi="Segoe UI"/>
      <w:sz w:val="18"/>
    </w:rPr>
  </w:style>
  <w:style w:type="paragraph" w:styleId="33">
    <w:name w:val="TOC 3"/>
    <w:next w:val="Normal"/>
    <w:link w:val="849"/>
    <w:uiPriority w:val="39"/>
    <w:pPr>
      <w:widowControl/>
      <w:suppressAutoHyphens w:val="true"/>
      <w:bidi w:val="0"/>
      <w:spacing w:lineRule="auto" w:line="264" w:beforeAutospacing="0" w:before="0" w:afterAutospacing="0" w:after="160"/>
      <w:ind w:left="400" w:hanging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Style21" w:customStyle="1">
    <w:name w:val="Колонтитул"/>
    <w:link w:val="864"/>
    <w:qFormat/>
    <w:pPr>
      <w:widowControl/>
      <w:suppressAutoHyphens w:val="true"/>
      <w:bidi w:val="0"/>
      <w:spacing w:lineRule="auto" w:line="240" w:beforeAutospacing="0" w:before="0" w:afterAutospacing="0" w:after="160"/>
      <w:jc w:val="both"/>
    </w:pPr>
    <w:rPr>
      <w:rFonts w:ascii="XO Thames" w:hAnsi="XO Thames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Style22">
    <w:name w:val="Footer"/>
    <w:basedOn w:val="Normal"/>
    <w:link w:val="851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14" w:customStyle="1">
    <w:name w:val="Основной шрифт абзаца1"/>
    <w:qFormat/>
    <w:pPr>
      <w:widowControl/>
      <w:suppressAutoHyphens w:val="true"/>
      <w:bidi w:val="0"/>
      <w:spacing w:lineRule="auto" w:line="264" w:beforeAutospacing="0" w:before="0" w:afterAutospacing="0" w:after="160"/>
      <w:jc w:val="left"/>
    </w:pPr>
    <w:rPr>
      <w:rFonts w:ascii="Calibri" w:hAnsi="Calibri" w:eastAsia="Times New Roman" w:cs="Times New Roman" w:asciiTheme="minorHAnsi" w:hAnsiTheme="minorHAnsi"/>
      <w:color w:val="000000"/>
      <w:kern w:val="0"/>
      <w:sz w:val="22"/>
      <w:szCs w:val="20"/>
      <w:lang w:val="ru-RU" w:eastAsia="ru-RU" w:bidi="ar-SA"/>
    </w:rPr>
  </w:style>
  <w:style w:type="paragraph" w:styleId="Style23">
    <w:name w:val="Header"/>
    <w:basedOn w:val="Normal"/>
    <w:link w:val="856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15" w:customStyle="1">
    <w:name w:val="Гиперссылка1"/>
    <w:link w:val="858"/>
    <w:qFormat/>
    <w:pPr>
      <w:widowControl/>
      <w:suppressAutoHyphens w:val="true"/>
      <w:bidi w:val="0"/>
      <w:spacing w:lineRule="auto" w:line="264" w:beforeAutospacing="0" w:before="0" w:afterAutospacing="0" w:after="160"/>
      <w:jc w:val="left"/>
    </w:pPr>
    <w:rPr>
      <w:rFonts w:ascii="Calibri" w:hAnsi="Calibri" w:eastAsia="Times New Roman" w:cs="Times New Roman"/>
      <w:color w:val="0000FF"/>
      <w:kern w:val="0"/>
      <w:sz w:val="22"/>
      <w:szCs w:val="20"/>
      <w:u w:val="single"/>
      <w:lang w:val="ru-RU" w:eastAsia="ru-RU" w:bidi="ar-SA"/>
    </w:rPr>
  </w:style>
  <w:style w:type="paragraph" w:styleId="Footnote1" w:customStyle="1">
    <w:name w:val="Footnote"/>
    <w:link w:val="860"/>
    <w:qFormat/>
    <w:pPr>
      <w:widowControl/>
      <w:suppressAutoHyphens w:val="true"/>
      <w:bidi w:val="0"/>
      <w:spacing w:lineRule="auto" w:line="264" w:beforeAutospacing="0" w:before="0" w:afterAutospacing="0" w:after="160"/>
      <w:ind w:firstLine="851"/>
      <w:jc w:val="both"/>
    </w:pPr>
    <w:rPr>
      <w:rFonts w:ascii="XO Thames" w:hAnsi="XO Thames" w:eastAsia="Times New Roman" w:cs="Times New Roman"/>
      <w:color w:val="000000"/>
      <w:kern w:val="0"/>
      <w:sz w:val="22"/>
      <w:szCs w:val="20"/>
      <w:lang w:val="ru-RU" w:eastAsia="ru-RU" w:bidi="ar-SA"/>
    </w:rPr>
  </w:style>
  <w:style w:type="paragraph" w:styleId="16">
    <w:name w:val="TOC 1"/>
    <w:next w:val="Normal"/>
    <w:link w:val="862"/>
    <w:uiPriority w:val="39"/>
    <w:pPr>
      <w:widowControl/>
      <w:suppressAutoHyphens w:val="true"/>
      <w:bidi w:val="0"/>
      <w:spacing w:lineRule="auto" w:line="264" w:beforeAutospacing="0" w:before="0" w:afterAutospacing="0" w:after="160"/>
      <w:jc w:val="left"/>
    </w:pPr>
    <w:rPr>
      <w:rFonts w:ascii="XO Thames" w:hAnsi="XO Thames" w:eastAsia="Times New Roman" w:cs="Times New Roman"/>
      <w:b/>
      <w:color w:val="000000"/>
      <w:kern w:val="0"/>
      <w:sz w:val="28"/>
      <w:szCs w:val="20"/>
      <w:lang w:val="ru-RU" w:eastAsia="ru-RU" w:bidi="ar-SA"/>
    </w:rPr>
  </w:style>
  <w:style w:type="paragraph" w:styleId="92">
    <w:name w:val="TOC 9"/>
    <w:next w:val="Normal"/>
    <w:link w:val="866"/>
    <w:uiPriority w:val="39"/>
    <w:pPr>
      <w:widowControl/>
      <w:suppressAutoHyphens w:val="true"/>
      <w:bidi w:val="0"/>
      <w:spacing w:lineRule="auto" w:line="264" w:beforeAutospacing="0" w:before="0" w:afterAutospacing="0" w:after="160"/>
      <w:ind w:left="1600" w:hanging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ListParagraph">
    <w:name w:val="List Paragraph"/>
    <w:basedOn w:val="Normal"/>
    <w:link w:val="868"/>
    <w:qFormat/>
    <w:pPr>
      <w:spacing w:before="0" w:after="160"/>
      <w:ind w:left="720" w:hanging="0"/>
      <w:contextualSpacing/>
    </w:pPr>
    <w:rPr/>
  </w:style>
  <w:style w:type="paragraph" w:styleId="82">
    <w:name w:val="TOC 8"/>
    <w:next w:val="Normal"/>
    <w:link w:val="870"/>
    <w:uiPriority w:val="39"/>
    <w:pPr>
      <w:widowControl/>
      <w:suppressAutoHyphens w:val="true"/>
      <w:bidi w:val="0"/>
      <w:spacing w:lineRule="auto" w:line="264" w:beforeAutospacing="0" w:before="0" w:afterAutospacing="0" w:after="160"/>
      <w:ind w:left="1400" w:hanging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53">
    <w:name w:val="TOC 5"/>
    <w:next w:val="Normal"/>
    <w:link w:val="872"/>
    <w:uiPriority w:val="39"/>
    <w:pPr>
      <w:widowControl/>
      <w:suppressAutoHyphens w:val="true"/>
      <w:bidi w:val="0"/>
      <w:spacing w:lineRule="auto" w:line="264" w:beforeAutospacing="0" w:before="0" w:afterAutospacing="0" w:after="160"/>
      <w:ind w:left="800" w:hanging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Style24">
    <w:name w:val="Subtitle"/>
    <w:next w:val="Normal"/>
    <w:link w:val="874"/>
    <w:uiPriority w:val="11"/>
    <w:qFormat/>
    <w:pPr>
      <w:widowControl/>
      <w:suppressAutoHyphens w:val="true"/>
      <w:bidi w:val="0"/>
      <w:spacing w:lineRule="auto" w:line="264" w:beforeAutospacing="0" w:before="0" w:afterAutospacing="0" w:after="160"/>
      <w:jc w:val="both"/>
    </w:pPr>
    <w:rPr>
      <w:rFonts w:ascii="XO Thames" w:hAnsi="XO Thames" w:eastAsia="Times New Roman" w:cs="Times New Roman"/>
      <w:i/>
      <w:color w:val="000000"/>
      <w:kern w:val="0"/>
      <w:sz w:val="24"/>
      <w:szCs w:val="20"/>
      <w:lang w:val="ru-RU" w:eastAsia="ru-RU" w:bidi="ar-SA"/>
    </w:rPr>
  </w:style>
  <w:style w:type="paragraph" w:styleId="Style25">
    <w:name w:val="Title"/>
    <w:next w:val="Normal"/>
    <w:link w:val="876"/>
    <w:uiPriority w:val="10"/>
    <w:qFormat/>
    <w:pPr>
      <w:widowControl/>
      <w:suppressAutoHyphens w:val="true"/>
      <w:bidi w:val="0"/>
      <w:spacing w:lineRule="auto" w:line="264" w:beforeAutospacing="0" w:before="567" w:afterAutospacing="0" w:after="567"/>
      <w:jc w:val="center"/>
    </w:pPr>
    <w:rPr>
      <w:rFonts w:ascii="XO Thames" w:hAnsi="XO Thames" w:eastAsia="Times New Roman" w:cs="Times New Roman"/>
      <w:b/>
      <w:caps/>
      <w:color w:val="000000"/>
      <w:kern w:val="0"/>
      <w:sz w:val="40"/>
      <w:szCs w:val="20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table" w:styleId="694">
    <w:name w:val="Table Grid Light"/>
    <w:basedOn w:val="834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5">
    <w:name w:val="Plain Table 1"/>
    <w:basedOn w:val="834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</w:tblStylePr>
  </w:style>
  <w:style w:type="table" w:styleId="696">
    <w:name w:val="Plain Table 2"/>
    <w:basedOn w:val="834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</w:tblStylePr>
  </w:style>
  <w:style w:type="table" w:styleId="697">
    <w:name w:val="Plain Table 3"/>
    <w:basedOn w:val="83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firstCol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tblPr/>
    </w:tblStylePr>
    <w:tblStylePr w:type="lastRow">
      <w:rPr>
        <w:b/>
        <w:caps/>
        <w:color w:val="404040"/>
      </w:rPr>
      <w:tblPr/>
    </w:tblStylePr>
  </w:style>
  <w:style w:type="table" w:styleId="698">
    <w:name w:val="Plain Table 4"/>
    <w:basedOn w:val="83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699">
    <w:name w:val="Plain Table 5"/>
    <w:basedOn w:val="83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0">
    <w:name w:val="Grid Table 1 Light"/>
    <w:basedOn w:val="83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701">
    <w:name w:val="Grid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702">
    <w:name w:val="Grid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703">
    <w:name w:val="Grid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704">
    <w:name w:val="Grid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705">
    <w:name w:val="Grid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706">
    <w:name w:val="Grid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707">
    <w:name w:val="Grid Table 2"/>
    <w:basedOn w:val="83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8">
    <w:name w:val="Grid Table 2 - Accent 1"/>
    <w:basedOn w:val="83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color w:val="404040"/>
        <w:sz w:val="22"/>
      </w:rPr>
      <w:tblPr/>
      <w:tcPr>
        <w:shd w:val="clear" w:color="FFFFFF" w:fill="DDEBF6" w:themeFill="accent1" w:themeFillTint="34"/>
      </w:tcPr>
    </w:tblStylePr>
    <w:tblStylePr w:type="band1Vert">
      <w:rPr>
        <w:color w:val="404040"/>
        <w:sz w:val="22"/>
      </w:rPr>
      <w:tblPr/>
      <w:tcPr>
        <w:shd w:val="clear" w:color="FFFFFF" w:fill="DDEBF6" w:themeFill="accent1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9">
    <w:name w:val="Grid Table 2 - Accent 2"/>
    <w:basedOn w:val="83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0">
    <w:name w:val="Grid Table 2 - Accent 3"/>
    <w:basedOn w:val="83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/>
        <w:sz w:val="22"/>
      </w:rPr>
      <w:tblPr/>
      <w:tcPr>
        <w:shd w:val="clear" w:color="FFFFFF" w:fill="EDEDED" w:themeFill="accent3" w:themeFillTint="34"/>
      </w:tcPr>
    </w:tblStylePr>
    <w:tblStylePr w:type="band1Vert">
      <w:rPr>
        <w:color w:val="404040"/>
        <w:sz w:val="22"/>
      </w:rPr>
      <w:tblPr/>
      <w:tcPr>
        <w:shd w:val="clear" w:color="FFFFFF" w:fill="EDEDED" w:themeFill="accent3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1">
    <w:name w:val="Grid Table 2 - Accent 4"/>
    <w:basedOn w:val="83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/>
        <w:sz w:val="22"/>
      </w:rPr>
      <w:tblPr/>
      <w:tcPr>
        <w:shd w:val="clear" w:color="FFFFFF" w:fill="FEF2CB" w:themeFill="accent4" w:themeFillTint="34"/>
      </w:tcPr>
    </w:tblStylePr>
    <w:tblStylePr w:type="band1Vert">
      <w:rPr>
        <w:color w:val="404040"/>
        <w:sz w:val="22"/>
      </w:rPr>
      <w:tblPr/>
      <w:tcPr>
        <w:shd w:val="clear" w:color="FFFFFF" w:fill="FEF2CB" w:themeFill="accent4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2">
    <w:name w:val="Grid Table 2 - Accent 5"/>
    <w:basedOn w:val="83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  <w:tblPr/>
      <w:tcPr>
        <w:shd w:val="clear" w:color="FFFFFF" w:fill="D9E2F2" w:themeFill="accent5" w:themeFillTint="34"/>
      </w:tcPr>
    </w:tblStylePr>
    <w:tblStylePr w:type="band1Vert">
      <w:rPr>
        <w:color w:val="404040"/>
        <w:sz w:val="22"/>
      </w:rPr>
      <w:tblPr/>
      <w:tcPr>
        <w:shd w:val="clear" w:color="FFFFFF" w:fill="D9E2F2" w:themeFill="accent5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3">
    <w:name w:val="Grid Table 2 - Accent 6"/>
    <w:basedOn w:val="83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  <w:tblPr/>
      <w:tcPr>
        <w:shd w:val="clear" w:color="FFFFFF" w:fill="E2EFD8" w:themeFill="accent6" w:themeFillTint="34"/>
      </w:tcPr>
    </w:tblStylePr>
    <w:tblStylePr w:type="band1Vert">
      <w:rPr>
        <w:color w:val="404040"/>
        <w:sz w:val="22"/>
      </w:rPr>
      <w:tblPr/>
      <w:tcPr>
        <w:shd w:val="clear" w:color="FFFFFF" w:fill="E2EFD8" w:themeFill="accent6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4">
    <w:name w:val="Grid Table 3"/>
    <w:basedOn w:val="83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5">
    <w:name w:val="Grid Table 3 - Accent 1"/>
    <w:basedOn w:val="83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color w:val="404040"/>
        <w:sz w:val="22"/>
      </w:rPr>
      <w:tblPr/>
      <w:tcPr>
        <w:shd w:val="clear" w:color="FFFFFF" w:fill="DDEBF6" w:themeFill="accent1" w:themeFillTint="34"/>
      </w:tcPr>
    </w:tblStylePr>
    <w:tblStylePr w:type="band1Vert">
      <w:rPr>
        <w:color w:val="404040"/>
        <w:sz w:val="22"/>
      </w:rPr>
      <w:tblPr/>
      <w:tcPr>
        <w:shd w:val="clear" w:color="FFFFFF" w:fill="DDEBF6" w:themeFill="accent1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6">
    <w:name w:val="Grid Table 3 - Accent 2"/>
    <w:basedOn w:val="83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7">
    <w:name w:val="Grid Table 3 - Accent 3"/>
    <w:basedOn w:val="83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/>
        <w:sz w:val="22"/>
      </w:rPr>
      <w:tblPr/>
      <w:tcPr>
        <w:shd w:val="clear" w:color="FFFFFF" w:fill="EDEDED" w:themeFill="accent3" w:themeFillTint="34"/>
      </w:tcPr>
    </w:tblStylePr>
    <w:tblStylePr w:type="band1Vert">
      <w:rPr>
        <w:color w:val="404040"/>
        <w:sz w:val="22"/>
      </w:rPr>
      <w:tblPr/>
      <w:tcPr>
        <w:shd w:val="clear" w:color="FFFFFF" w:fill="EDEDED" w:themeFill="accent3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8">
    <w:name w:val="Grid Table 3 - Accent 4"/>
    <w:basedOn w:val="83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/>
        <w:sz w:val="22"/>
      </w:rPr>
      <w:tblPr/>
      <w:tcPr>
        <w:shd w:val="clear" w:color="FFFFFF" w:fill="FEF2CB" w:themeFill="accent4" w:themeFillTint="34"/>
      </w:tcPr>
    </w:tblStylePr>
    <w:tblStylePr w:type="band1Vert">
      <w:rPr>
        <w:color w:val="404040"/>
        <w:sz w:val="22"/>
      </w:rPr>
      <w:tblPr/>
      <w:tcPr>
        <w:shd w:val="clear" w:color="FFFFFF" w:fill="FEF2CB" w:themeFill="accent4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9">
    <w:name w:val="Grid Table 3 - Accent 5"/>
    <w:basedOn w:val="83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  <w:tblPr/>
      <w:tcPr>
        <w:shd w:val="clear" w:color="FFFFFF" w:fill="D9E2F2" w:themeFill="accent5" w:themeFillTint="34"/>
      </w:tcPr>
    </w:tblStylePr>
    <w:tblStylePr w:type="band1Vert">
      <w:rPr>
        <w:color w:val="404040"/>
        <w:sz w:val="22"/>
      </w:rPr>
      <w:tblPr/>
      <w:tcPr>
        <w:shd w:val="clear" w:color="FFFFFF" w:fill="D9E2F2" w:themeFill="accent5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0">
    <w:name w:val="Grid Table 3 - Accent 6"/>
    <w:basedOn w:val="83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  <w:tblPr/>
      <w:tcPr>
        <w:shd w:val="clear" w:color="FFFFFF" w:fill="E2EFD8" w:themeFill="accent6" w:themeFillTint="34"/>
      </w:tcPr>
    </w:tblStylePr>
    <w:tblStylePr w:type="band1Vert">
      <w:rPr>
        <w:color w:val="404040"/>
        <w:sz w:val="22"/>
      </w:rPr>
      <w:tblPr/>
      <w:tcPr>
        <w:shd w:val="clear" w:color="FFFFFF" w:fill="E2EFD8" w:themeFill="accent6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1">
    <w:name w:val="Grid Table 4"/>
    <w:basedOn w:val="83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</w:style>
  <w:style w:type="table" w:styleId="722">
    <w:name w:val="Grid Table 4 - Accent 1"/>
    <w:basedOn w:val="83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DFEBF6" w:themeFill="accent1" w:themeFillTint="32"/>
      </w:tcPr>
    </w:tblStylePr>
    <w:tblStylePr w:type="band1Vert">
      <w:rPr>
        <w:color w:val="404040"/>
        <w:sz w:val="22"/>
      </w:rPr>
      <w:tblPr/>
      <w:tcPr>
        <w:shd w:val="clear" w:color="FFFFFF" w:fill="DFEBF6" w:themeFill="accent1" w:themeFillTint="32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  <w:shd w:val="clear" w:color="FFFFFF" w:fill="67A4D8" w:themeFill="accent1" w:themeFillTint="ea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1" w:sz="4" w:space="0"/>
        </w:tcBorders>
      </w:tcPr>
    </w:tblStylePr>
  </w:style>
  <w:style w:type="table" w:styleId="723">
    <w:name w:val="Grid Table 4 - Accent 2"/>
    <w:basedOn w:val="83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  <w:shd w:val="clear" w:color="FFFFFF" w:fill="F4B185" w:themeFill="accent2" w:themeFillTint="97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2" w:sz="4" w:space="0"/>
        </w:tcBorders>
      </w:tcPr>
    </w:tblStylePr>
  </w:style>
  <w:style w:type="table" w:styleId="724">
    <w:name w:val="Grid Table 4 - Accent 3"/>
    <w:basedOn w:val="83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EDEDED" w:themeFill="accent3" w:themeFillTint="34"/>
      </w:tcPr>
    </w:tblStylePr>
    <w:tblStylePr w:type="band1Vert">
      <w:rPr>
        <w:color w:val="404040"/>
        <w:sz w:val="22"/>
      </w:rPr>
      <w:tblPr/>
      <w:tcPr>
        <w:shd w:val="clear" w:color="FFFFFF" w:fill="EDEDED" w:themeFill="accent3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  <w:shd w:val="clear" w:color="FFFFFF" w:fill="A5A5A5" w:themeFill="accent3" w:themeFillTint="fe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3" w:sz="4" w:space="0"/>
        </w:tcBorders>
      </w:tcPr>
    </w:tblStylePr>
  </w:style>
  <w:style w:type="table" w:styleId="725">
    <w:name w:val="Grid Table 4 - Accent 4"/>
    <w:basedOn w:val="83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FEF2CB" w:themeFill="accent4" w:themeFillTint="34"/>
      </w:tcPr>
    </w:tblStylePr>
    <w:tblStylePr w:type="band1Vert">
      <w:rPr>
        <w:color w:val="404040"/>
        <w:sz w:val="22"/>
      </w:rPr>
      <w:tblPr/>
      <w:tcPr>
        <w:shd w:val="clear" w:color="FFFFFF" w:fill="FEF2CB" w:themeFill="accent4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  <w:shd w:val="clear" w:color="FFFFFF" w:fill="FFD864" w:themeFill="accent4" w:themeFillTint="9a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4" w:sz="4" w:space="0"/>
        </w:tcBorders>
      </w:tcPr>
    </w:tblStylePr>
  </w:style>
  <w:style w:type="table" w:styleId="726">
    <w:name w:val="Grid Table 4 - Accent 5"/>
    <w:basedOn w:val="83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D9E2F2" w:themeFill="accent5" w:themeFillTint="34"/>
      </w:tcPr>
    </w:tblStylePr>
    <w:tblStylePr w:type="band1Vert">
      <w:rPr>
        <w:color w:val="404040"/>
        <w:sz w:val="22"/>
      </w:rPr>
      <w:tblPr/>
      <w:tcPr>
        <w:shd w:val="clear" w:color="FFFFFF" w:fill="D9E2F2" w:themeFill="accent5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fill="4472C4" w:themeFill="accent5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5" w:sz="4" w:space="0"/>
        </w:tcBorders>
      </w:tcPr>
    </w:tblStylePr>
  </w:style>
  <w:style w:type="table" w:styleId="727">
    <w:name w:val="Grid Table 4 - Accent 6"/>
    <w:basedOn w:val="83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E2EFD8" w:themeFill="accent6" w:themeFillTint="34"/>
      </w:tcPr>
    </w:tblStylePr>
    <w:tblStylePr w:type="band1Vert">
      <w:rPr>
        <w:color w:val="404040"/>
        <w:sz w:val="22"/>
      </w:rPr>
      <w:tblPr/>
      <w:tcPr>
        <w:shd w:val="clear" w:color="FFFFFF" w:fill="E2EFD8" w:themeFill="accent6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fill="70AD47" w:themeFill="accent6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6" w:sz="4" w:space="0"/>
        </w:tcBorders>
      </w:tcPr>
    </w:tblStylePr>
  </w:style>
  <w:style w:type="table" w:styleId="728">
    <w:name w:val="Grid Table 5 Dark"/>
    <w:basedOn w:val="83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8A8A8A" w:themeFill="text1" w:themeFillTint="75"/>
      </w:tcPr>
    </w:tblStylePr>
    <w:tblStylePr w:type="band1Vert">
      <w:tblPr/>
      <w:tcPr>
        <w:shd w:val="clear" w:color="FFFFFF" w:fill="8A8A8A" w:themeFill="text1" w:themeFillTint="75"/>
      </w:tcPr>
    </w:tblStylePr>
    <w:tblStylePr w:type="fir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000000" w:themeFill="text1"/>
      </w:tcPr>
    </w:tblStylePr>
  </w:style>
  <w:style w:type="table" w:styleId="729">
    <w:name w:val="Grid Table 5 Dark- Accent 1"/>
    <w:basedOn w:val="83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B4D2EB" w:themeFill="accent1" w:themeFillTint="75"/>
      </w:tcPr>
    </w:tblStylePr>
    <w:tblStylePr w:type="band1Vert">
      <w:tblPr/>
      <w:tcPr>
        <w:shd w:val="clear" w:color="FFFFFF" w:fill="B4D2EB" w:themeFill="accent1" w:themeFillTint="75"/>
      </w:tcPr>
    </w:tblStylePr>
    <w:tblStylePr w:type="fir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5B9BD5" w:themeFill="accent1"/>
      </w:tcPr>
    </w:tblStylePr>
  </w:style>
  <w:style w:type="table" w:styleId="730">
    <w:name w:val="Grid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6C3A1" w:themeFill="accent2" w:themeFillTint="75"/>
      </w:tcPr>
    </w:tblStylePr>
    <w:tblStylePr w:type="band1Vert">
      <w:tblPr/>
      <w:tcPr>
        <w:shd w:val="clear" w:color="FFFFFF" w:fill="F6C3A1" w:themeFill="accent2" w:themeFillTint="75"/>
      </w:tcPr>
    </w:tblStylePr>
    <w:tblStylePr w:type="fir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ED7D31" w:themeFill="accent2"/>
      </w:tcPr>
    </w:tblStylePr>
  </w:style>
  <w:style w:type="table" w:styleId="731">
    <w:name w:val="Grid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D6D6D6" w:themeFill="accent3" w:themeFillTint="75"/>
      </w:tcPr>
    </w:tblStylePr>
    <w:tblStylePr w:type="band1Vert">
      <w:tblPr/>
      <w:tcPr>
        <w:shd w:val="clear" w:color="FFFFFF" w:fill="D6D6D6" w:themeFill="accent3" w:themeFillTint="75"/>
      </w:tcPr>
    </w:tblStylePr>
    <w:tblStylePr w:type="fir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A5A5A5" w:themeFill="accent3"/>
      </w:tcPr>
    </w:tblStylePr>
  </w:style>
  <w:style w:type="table" w:styleId="732">
    <w:name w:val="Grid Table 5 Dark- Accent 4"/>
    <w:basedOn w:val="83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EE189" w:themeFill="accent4" w:themeFillTint="75"/>
      </w:tcPr>
    </w:tblStylePr>
    <w:tblStylePr w:type="band1Vert">
      <w:tblPr/>
      <w:tcPr>
        <w:shd w:val="clear" w:color="FFFFFF" w:fill="FEE189" w:themeFill="accent4" w:themeFillTint="75"/>
      </w:tcPr>
    </w:tblStylePr>
    <w:tblStylePr w:type="fir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FFC000" w:themeFill="accent4"/>
      </w:tcPr>
    </w:tblStylePr>
  </w:style>
  <w:style w:type="table" w:styleId="733">
    <w:name w:val="Grid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ABFE3" w:themeFill="accent5" w:themeFillTint="75"/>
      </w:tcPr>
    </w:tblStylePr>
    <w:tblStylePr w:type="band1Vert">
      <w:tblPr/>
      <w:tcPr>
        <w:shd w:val="clear" w:color="FFFFFF" w:fill="AABFE3" w:themeFill="accent5" w:themeFillTint="75"/>
      </w:tcPr>
    </w:tblStylePr>
    <w:tblStylePr w:type="fir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4472C4" w:themeFill="accent5"/>
      </w:tcPr>
    </w:tblStylePr>
  </w:style>
  <w:style w:type="table" w:styleId="734">
    <w:name w:val="Grid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BEDBA8" w:themeFill="accent6" w:themeFillTint="75"/>
      </w:tcPr>
    </w:tblStylePr>
    <w:tblStylePr w:type="band1Vert">
      <w:tblPr/>
      <w:tcPr>
        <w:shd w:val="clear" w:color="FFFFFF" w:fill="BEDBA8" w:themeFill="accent6" w:themeFillTint="75"/>
      </w:tcPr>
    </w:tblStylePr>
    <w:tblStylePr w:type="fir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70AD47" w:themeFill="accent6"/>
      </w:tcPr>
    </w:tblStylePr>
  </w:style>
  <w:style w:type="table" w:styleId="735">
    <w:name w:val="Grid Table 6 Colorful"/>
    <w:basedOn w:val="83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04040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1Vert">
      <w:tblPr/>
      <w:tcPr>
        <w:shd w:val="clear" w:color="FFFFFF" w:fill="CBCBCB" w:themeFill="text1" w:themeFillTint="34"/>
      </w:tcPr>
    </w:tblStylePr>
    <w:tblStylePr w:type="band2Horz">
      <w:rPr>
        <w:color w:val="404040" w:themeColor="text1" w:themeTint="80" w:themeShade="95"/>
        <w:sz w:val="22"/>
      </w:rPr>
      <w:tblPr/>
    </w:tblStylePr>
    <w:tblStylePr w:type="firstCol">
      <w:rPr>
        <w:b/>
        <w:color w:val="4A4A4A" w:themeColor="text1" w:themeTint="80" w:themeShade="95"/>
      </w:rPr>
      <w:tblPr/>
    </w:tblStylePr>
    <w:tblStylePr w:type="firstRow">
      <w:rPr>
        <w:b/>
        <w:color w:val="4A4A4A"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  <w:tblPr/>
    </w:tblStylePr>
    <w:tblStylePr w:type="lastRow">
      <w:rPr>
        <w:b/>
        <w:color w:val="4A4A4A" w:themeColor="text1" w:themeTint="80" w:themeShade="95"/>
      </w:rPr>
      <w:tblPr/>
    </w:tblStylePr>
    <w:tblStylePr w:type="wholeTable">
      <w:rPr>
        <w:color w:val="404040" w:themeColor="text1" w:themeTint="80" w:themeShade="95"/>
        <w:sz w:val="22"/>
      </w:rPr>
      <w:tblPr/>
    </w:tblStylePr>
  </w:style>
  <w:style w:type="table" w:styleId="736">
    <w:name w:val="Grid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404040" w:themeColor="accent1" w:themeTint="80" w:themeShade="95"/>
        <w:sz w:val="22"/>
      </w:rPr>
      <w:tblPr/>
      <w:tcPr>
        <w:shd w:val="clear" w:color="FFFFFF" w:fill="DDEBF6" w:themeFill="accent1" w:themeFillTint="34"/>
      </w:tcPr>
    </w:tblStylePr>
    <w:tblStylePr w:type="band1Vert">
      <w:tblPr/>
      <w:tcPr>
        <w:shd w:val="clear" w:color="FFFFFF" w:fill="DDEBF6" w:themeFill="accent1" w:themeFillTint="34"/>
      </w:tcPr>
    </w:tblStylePr>
    <w:tblStylePr w:type="band2Horz">
      <w:rPr>
        <w:color w:val="404040" w:themeColor="accent1" w:themeTint="80" w:themeShade="95"/>
        <w:sz w:val="22"/>
      </w:rPr>
      <w:tblPr/>
    </w:tblStylePr>
    <w:tblStylePr w:type="firstCol">
      <w:rPr>
        <w:b/>
        <w:color w:val="317BBA" w:themeColor="accent1" w:themeTint="80" w:themeShade="95"/>
      </w:rPr>
      <w:tblPr/>
    </w:tblStylePr>
    <w:tblStylePr w:type="firstRow">
      <w:rPr>
        <w:b/>
        <w:color w:val="317BBA" w:themeColor="accent1" w:themeTint="80" w:themeShade="95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317BBA" w:themeColor="accent1" w:themeTint="80" w:themeShade="95"/>
      </w:rPr>
      <w:tblPr/>
    </w:tblStylePr>
    <w:tblStylePr w:type="lastRow">
      <w:rPr>
        <w:b/>
        <w:color w:val="317BBA" w:themeColor="accent1" w:themeTint="80" w:themeShade="95"/>
      </w:rPr>
      <w:tblPr/>
    </w:tblStylePr>
    <w:tblStylePr w:type="wholeTable">
      <w:rPr>
        <w:color w:val="404040" w:themeColor="accent1" w:themeTint="80" w:themeShade="95"/>
        <w:sz w:val="22"/>
      </w:rPr>
      <w:tblPr/>
    </w:tblStylePr>
  </w:style>
  <w:style w:type="table" w:styleId="737">
    <w:name w:val="Grid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2Horz">
      <w:rPr>
        <w:color w:val="404040" w:themeColor="accent2" w:themeTint="97" w:themeShade="95"/>
        <w:sz w:val="22"/>
      </w:rPr>
      <w:tblPr/>
    </w:tblStylePr>
    <w:tblStylePr w:type="firstCol">
      <w:rPr>
        <w:b/>
        <w:color w:val="C95712" w:themeColor="accent2" w:themeTint="97" w:themeShade="95"/>
      </w:rPr>
      <w:tblPr/>
    </w:tblStylePr>
    <w:tblStylePr w:type="firstRow">
      <w:rPr>
        <w:b/>
        <w:color w:val="C95712" w:themeColor="accent2" w:themeTint="97" w:themeShade="95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C95712" w:themeColor="accent2" w:themeTint="97" w:themeShade="95"/>
      </w:rPr>
      <w:tblPr/>
    </w:tblStylePr>
    <w:tblStylePr w:type="lastRow">
      <w:rPr>
        <w:b/>
        <w:color w:val="C95712" w:themeColor="accent2" w:themeTint="97" w:themeShade="95"/>
      </w:rPr>
      <w:tblPr/>
    </w:tblStylePr>
    <w:tblStylePr w:type="wholeTable">
      <w:rPr>
        <w:color w:val="404040" w:themeColor="accent2" w:themeTint="97" w:themeShade="95"/>
        <w:sz w:val="22"/>
      </w:rPr>
      <w:tblPr/>
    </w:tblStylePr>
  </w:style>
  <w:style w:type="table" w:styleId="738">
    <w:name w:val="Grid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 w:themeColor="accent3" w:themeTint="fe" w:themeShade="95"/>
        <w:sz w:val="22"/>
      </w:rPr>
      <w:tblPr/>
      <w:tcPr>
        <w:shd w:val="clear" w:color="FFFFFF" w:fill="EDEDED" w:themeFill="accent3" w:themeFillTint="34"/>
      </w:tcPr>
    </w:tblStylePr>
    <w:tblStylePr w:type="band1Vert">
      <w:tblPr/>
      <w:tcPr>
        <w:shd w:val="clear" w:color="FFFFFF" w:fill="EDEDED" w:themeFill="accent3" w:themeFillTint="34"/>
      </w:tcPr>
    </w:tblStylePr>
    <w:tblStylePr w:type="band2Horz">
      <w:rPr>
        <w:color w:val="404040" w:themeColor="accent3" w:themeTint="fe" w:themeShade="95"/>
        <w:sz w:val="22"/>
      </w:rPr>
      <w:tblPr/>
    </w:tblStylePr>
    <w:tblStylePr w:type="firstCol">
      <w:rPr>
        <w:b/>
        <w:color w:val="606060" w:themeColor="accent3" w:themeTint="fe" w:themeShade="95"/>
      </w:rPr>
      <w:tblPr/>
    </w:tblStylePr>
    <w:tblStylePr w:type="firstRow">
      <w:rPr>
        <w:b/>
        <w:color w:val="606060" w:themeColor="accent3" w:themeTint="fe" w:themeShade="95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606060" w:themeColor="accent3" w:themeTint="fe" w:themeShade="95"/>
      </w:rPr>
      <w:tblPr/>
    </w:tblStylePr>
    <w:tblStylePr w:type="lastRow">
      <w:rPr>
        <w:b/>
        <w:color w:val="606060" w:themeColor="accent3" w:themeTint="fe" w:themeShade="95"/>
      </w:rPr>
      <w:tblPr/>
    </w:tblStylePr>
    <w:tblStylePr w:type="wholeTable">
      <w:rPr>
        <w:color w:val="404040" w:themeColor="accent3" w:themeTint="fe" w:themeShade="95"/>
        <w:sz w:val="22"/>
      </w:rPr>
      <w:tblPr/>
    </w:tblStylePr>
  </w:style>
  <w:style w:type="table" w:styleId="739">
    <w:name w:val="Grid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blPr/>
      <w:tcPr>
        <w:shd w:val="clear" w:color="FFFFFF" w:fill="FEF2CB" w:themeFill="accent4" w:themeFillTint="34"/>
      </w:tcPr>
    </w:tblStylePr>
    <w:tblStylePr w:type="band1Vert">
      <w:tblPr/>
      <w:tcPr>
        <w:shd w:val="clear" w:color="FFFFFF" w:fill="FEF2CB" w:themeFill="accent4" w:themeFillTint="34"/>
      </w:tcPr>
    </w:tblStylePr>
    <w:tblStylePr w:type="band2Horz">
      <w:rPr>
        <w:color w:val="404040" w:themeColor="accent4" w:themeTint="9a" w:themeShade="95"/>
        <w:sz w:val="22"/>
      </w:rPr>
      <w:tblPr/>
    </w:tblStylePr>
    <w:tblStylePr w:type="firstCol">
      <w:rPr>
        <w:b/>
        <w:color w:val="CD9600" w:themeColor="accent4" w:themeTint="9a" w:themeShade="95"/>
      </w:rPr>
      <w:tblPr/>
    </w:tblStylePr>
    <w:tblStylePr w:type="firstRow">
      <w:rPr>
        <w:b/>
        <w:color w:val="CD9600" w:themeColor="accent4" w:themeTint="9a" w:themeShade="95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CD9600" w:themeColor="accent4" w:themeTint="9a" w:themeShade="95"/>
      </w:rPr>
      <w:tblPr/>
    </w:tblStylePr>
    <w:tblStylePr w:type="lastRow">
      <w:rPr>
        <w:b/>
        <w:color w:val="CD9600" w:themeColor="accent4" w:themeTint="9a" w:themeShade="95"/>
      </w:rPr>
      <w:tblPr/>
    </w:tblStylePr>
    <w:tblStylePr w:type="wholeTable">
      <w:rPr>
        <w:color w:val="404040" w:themeColor="accent4" w:themeTint="9a" w:themeShade="95"/>
        <w:sz w:val="22"/>
      </w:rPr>
      <w:tblPr/>
    </w:tblStylePr>
  </w:style>
  <w:style w:type="table" w:styleId="740">
    <w:name w:val="Grid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 w:themeColor="accent5" w:themeShade="95"/>
        <w:sz w:val="22"/>
      </w:rPr>
      <w:tblPr/>
      <w:tcPr>
        <w:shd w:val="clear" w:color="FFFFFF" w:fill="D9E2F2" w:themeFill="accent5" w:themeFillTint="34"/>
      </w:tcPr>
    </w:tblStylePr>
    <w:tblStylePr w:type="band1Vert">
      <w:tblPr/>
      <w:tcPr>
        <w:shd w:val="clear" w:color="FFFFFF" w:fill="D9E2F2" w:themeFill="accent5" w:themeFillTint="34"/>
      </w:tcPr>
    </w:tblStylePr>
    <w:tblStylePr w:type="band2Horz">
      <w:rPr>
        <w:color w:val="404040" w:themeColor="accent5" w:themeShade="95"/>
        <w:sz w:val="22"/>
      </w:rPr>
      <w:tblPr/>
    </w:tblStylePr>
    <w:tblStylePr w:type="firstCol">
      <w:rPr>
        <w:b/>
        <w:color w:val="254374" w:themeColor="accent5" w:themeShade="95"/>
      </w:rPr>
      <w:tblPr/>
    </w:tblStylePr>
    <w:tblStylePr w:type="firstRow">
      <w:rPr>
        <w:b/>
        <w:color w:val="254374" w:themeColor="accent5" w:themeShade="95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  <w:tblPr/>
    </w:tblStylePr>
    <w:tblStylePr w:type="lastRow">
      <w:rPr>
        <w:b/>
        <w:color w:val="254374" w:themeColor="accent5" w:themeShade="95"/>
      </w:rPr>
      <w:tblPr/>
    </w:tblStylePr>
    <w:tblStylePr w:type="wholeTable">
      <w:rPr>
        <w:color w:val="404040" w:themeColor="accent5" w:themeShade="95"/>
        <w:sz w:val="22"/>
      </w:rPr>
      <w:tblPr/>
    </w:tblStylePr>
  </w:style>
  <w:style w:type="table" w:styleId="741">
    <w:name w:val="Grid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 w:themeColor="accent5" w:themeShade="95"/>
        <w:sz w:val="22"/>
      </w:rPr>
      <w:tblPr/>
      <w:tcPr>
        <w:shd w:val="clear" w:color="FFFFFF" w:fill="E2EFD8" w:themeFill="accent6" w:themeFillTint="34"/>
      </w:tcPr>
    </w:tblStylePr>
    <w:tblStylePr w:type="band1Vert">
      <w:tblPr/>
      <w:tcPr>
        <w:shd w:val="clear" w:color="FFFFFF" w:fill="E2EFD8" w:themeFill="accent6" w:themeFillTint="34"/>
      </w:tcPr>
    </w:tblStylePr>
    <w:tblStylePr w:type="band2Horz">
      <w:rPr>
        <w:color w:val="404040" w:themeColor="accent5" w:themeShade="95"/>
        <w:sz w:val="22"/>
      </w:rPr>
      <w:tblPr/>
    </w:tblStylePr>
    <w:tblStylePr w:type="firstCol">
      <w:rPr>
        <w:b/>
        <w:color w:val="254374" w:themeColor="accent5" w:themeShade="95"/>
      </w:rPr>
      <w:tblPr/>
    </w:tblStylePr>
    <w:tblStylePr w:type="firstRow">
      <w:rPr>
        <w:b/>
        <w:color w:val="254374" w:themeColor="accent5" w:themeShade="95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  <w:tblPr/>
    </w:tblStylePr>
    <w:tblStylePr w:type="lastRow">
      <w:rPr>
        <w:b/>
        <w:color w:val="254374" w:themeColor="accent5" w:themeShade="95"/>
      </w:rPr>
      <w:tblPr/>
    </w:tblStylePr>
    <w:tblStylePr w:type="wholeTable">
      <w:rPr>
        <w:color w:val="404040" w:themeColor="accent5" w:themeShade="95"/>
        <w:sz w:val="22"/>
      </w:rPr>
      <w:tblPr/>
    </w:tblStylePr>
  </w:style>
  <w:style w:type="table" w:styleId="742">
    <w:name w:val="Grid Table 7 Colorful"/>
    <w:basedOn w:val="83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2Horz">
      <w:rPr>
        <w:color w:val="4A4A4A"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rPr>
        <w:b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A4A4A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43">
    <w:name w:val="Grid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17BBA" w:themeColor="accent1" w:themeTint="80" w:themeShade="95"/>
        <w:sz w:val="22"/>
      </w:rPr>
      <w:tblPr/>
      <w:tcPr>
        <w:shd w:val="clear" w:color="FFFFFF" w:fill="DDEBF6" w:themeFill="accent1" w:themeFillTint="34"/>
      </w:tcPr>
    </w:tblStylePr>
    <w:tblStylePr w:type="band1Vert">
      <w:tblPr/>
      <w:tcPr>
        <w:shd w:val="clear" w:color="FFFFFF" w:fill="DDEBF6" w:themeFill="accent1" w:themeFillTint="34"/>
      </w:tcPr>
    </w:tblStylePr>
    <w:tblStylePr w:type="band2Horz">
      <w:rPr>
        <w:color w:val="317BBA" w:themeColor="accent1" w:themeTint="80" w:themeShade="95"/>
        <w:sz w:val="22"/>
      </w:rPr>
      <w:tblPr/>
    </w:tblStylePr>
    <w:tblStylePr w:type="firstCol">
      <w:pPr>
        <w:jc w:val="right"/>
      </w:pPr>
      <w:rPr>
        <w:i/>
        <w:color w:val="317BBA"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b/>
        <w:color w:val="317BBA"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317BBA" w:themeColor="accent1" w:themeTint="80" w:themeShade="95"/>
        <w:sz w:val="22"/>
      </w:rPr>
      <w:tblPr/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317BBA" w:themeColor="accent1" w:themeTint="80" w:themeShade="95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44">
    <w:name w:val="Grid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2Horz">
      <w:rPr>
        <w:color w:val="C95712"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val="C95712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  <w:shd w:val="clear" w:color="FFFFFF"/>
      </w:tcPr>
    </w:tblStylePr>
    <w:tblStylePr w:type="firstRow">
      <w:rPr>
        <w:b/>
        <w:color w:val="C95712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C95712" w:themeColor="accent2" w:themeTint="97" w:themeShade="95"/>
        <w:sz w:val="22"/>
      </w:rPr>
      <w:tblPr/>
      <w:tcPr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C95712"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45">
    <w:name w:val="Grid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606060" w:themeColor="accent3" w:themeTint="fe" w:themeShade="95"/>
        <w:sz w:val="22"/>
      </w:rPr>
      <w:tblPr/>
      <w:tcPr>
        <w:shd w:val="clear" w:color="FFFFFF" w:fill="EDEDED" w:themeFill="accent3" w:themeFillTint="34"/>
      </w:tcPr>
    </w:tblStylePr>
    <w:tblStylePr w:type="band1Vert">
      <w:tblPr/>
      <w:tcPr>
        <w:shd w:val="clear" w:color="FFFFFF" w:fill="EDEDED" w:themeFill="accent3" w:themeFillTint="34"/>
      </w:tcPr>
    </w:tblStylePr>
    <w:tblStylePr w:type="band2Horz">
      <w:rPr>
        <w:color w:val="606060" w:themeColor="accent3" w:themeTint="fe" w:themeShade="95"/>
        <w:sz w:val="22"/>
      </w:rPr>
      <w:tblPr/>
    </w:tblStylePr>
    <w:tblStylePr w:type="firstCol">
      <w:pPr>
        <w:jc w:val="right"/>
      </w:pPr>
      <w:rPr>
        <w:i/>
        <w:color w:val="606060"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  <w:shd w:val="clear" w:color="FFFFFF"/>
      </w:tcPr>
    </w:tblStylePr>
    <w:tblStylePr w:type="firstRow">
      <w:rPr>
        <w:b/>
        <w:color w:val="606060"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606060" w:themeColor="accent3" w:themeTint="fe" w:themeShade="95"/>
        <w:sz w:val="22"/>
      </w:rPr>
      <w:tblPr/>
      <w:tcPr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606060" w:themeColor="accent3" w:themeTint="fe" w:themeShade="95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46">
    <w:name w:val="Grid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blPr/>
      <w:tcPr>
        <w:shd w:val="clear" w:color="FFFFFF" w:fill="FEF2CB" w:themeFill="accent4" w:themeFillTint="34"/>
      </w:tcPr>
    </w:tblStylePr>
    <w:tblStylePr w:type="band1Vert">
      <w:tblPr/>
      <w:tcPr>
        <w:shd w:val="clear" w:color="FFFFFF" w:fill="FEF2CB" w:themeFill="accent4" w:themeFillTint="34"/>
      </w:tcPr>
    </w:tblStylePr>
    <w:tblStylePr w:type="band2Horz">
      <w:rPr>
        <w:color w:val="CD9600"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val="CD9600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  <w:shd w:val="clear" w:color="FFFFFF"/>
      </w:tcPr>
    </w:tblStylePr>
    <w:tblStylePr w:type="firstRow">
      <w:rPr>
        <w:b/>
        <w:color w:val="CD9600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CD9600" w:themeColor="accent4" w:themeTint="9a" w:themeShade="95"/>
        <w:sz w:val="22"/>
      </w:rPr>
      <w:tblPr/>
      <w:tcPr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CD9600"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47">
    <w:name w:val="Grid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254374" w:themeColor="accent5" w:themeShade="95"/>
        <w:sz w:val="22"/>
      </w:rPr>
      <w:tblPr/>
      <w:tcPr>
        <w:shd w:val="clear" w:color="FFFFFF" w:fill="D9E2F2" w:themeFill="accent5" w:themeFillTint="34"/>
      </w:tcPr>
    </w:tblStylePr>
    <w:tblStylePr w:type="band1Vert">
      <w:tblPr/>
      <w:tcPr>
        <w:shd w:val="clear" w:color="FFFFFF" w:fill="D9E2F2" w:themeFill="accent5" w:themeFillTint="34"/>
      </w:tcPr>
    </w:tblStylePr>
    <w:tblStylePr w:type="band2Horz">
      <w:rPr>
        <w:color w:val="254374" w:themeColor="accent5" w:themeShade="95"/>
        <w:sz w:val="22"/>
      </w:rPr>
      <w:tblPr/>
    </w:tblStylePr>
    <w:tblStylePr w:type="firstCol">
      <w:pPr>
        <w:jc w:val="right"/>
      </w:pPr>
      <w:rPr>
        <w:i/>
        <w:color w:val="254374"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  <w:shd w:val="clear" w:color="FFFFFF"/>
      </w:tcPr>
    </w:tblStylePr>
    <w:tblStylePr w:type="firstRow">
      <w:rPr>
        <w:b/>
        <w:color w:val="254374"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254374" w:themeColor="accent5" w:themeShade="95"/>
        <w:sz w:val="22"/>
      </w:rPr>
      <w:tblPr/>
      <w:tcPr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254374" w:themeColor="accent5" w:themeShade="95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48">
    <w:name w:val="Grid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426429" w:themeColor="accent6" w:themeShade="95"/>
        <w:sz w:val="22"/>
      </w:rPr>
      <w:tblPr/>
      <w:tcPr>
        <w:shd w:val="clear" w:color="FFFFFF" w:fill="E2EFD8" w:themeFill="accent6" w:themeFillTint="34"/>
      </w:tcPr>
    </w:tblStylePr>
    <w:tblStylePr w:type="band1Vert">
      <w:tblPr/>
      <w:tcPr>
        <w:shd w:val="clear" w:color="FFFFFF" w:fill="E2EFD8" w:themeFill="accent6" w:themeFillTint="34"/>
      </w:tcPr>
    </w:tblStylePr>
    <w:tblStylePr w:type="band2Horz">
      <w:rPr>
        <w:color w:val="426429" w:themeColor="accent6" w:themeShade="95"/>
        <w:sz w:val="22"/>
      </w:rPr>
      <w:tblPr/>
    </w:tblStylePr>
    <w:tblStylePr w:type="firstCol">
      <w:pPr>
        <w:jc w:val="right"/>
      </w:pPr>
      <w:rPr>
        <w:i/>
        <w:color w:val="426429"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  <w:shd w:val="clear" w:color="FFFFFF"/>
      </w:tcPr>
    </w:tblStylePr>
    <w:tblStylePr w:type="firstRow">
      <w:rPr>
        <w:b/>
        <w:color w:val="426429"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426429" w:themeColor="accent6" w:themeShade="95"/>
        <w:sz w:val="22"/>
      </w:rPr>
      <w:tblPr/>
      <w:tcPr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26429" w:themeColor="accent6" w:themeShade="95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49">
    <w:name w:val="List Table 1 Light"/>
    <w:basedOn w:val="83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1"/>
    <w:basedOn w:val="83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5E6F4" w:themeFill="accent1" w:themeFillTint="40"/>
      </w:tcPr>
    </w:tblStylePr>
    <w:tblStylePr w:type="band1Vert">
      <w:tblPr/>
      <w:tcPr>
        <w:shd w:val="clear" w:color="FFFFFF" w:fill="D5E6F4" w:themeFill="accent1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2"/>
    <w:basedOn w:val="83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ADECB" w:themeFill="accent2" w:themeFillTint="40"/>
      </w:tcPr>
    </w:tblStylePr>
    <w:tblStylePr w:type="band1Vert">
      <w:tblPr/>
      <w:tcPr>
        <w:shd w:val="clear" w:color="FFFFFF" w:fill="FADECB" w:themeFill="accent2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3"/>
    <w:basedOn w:val="83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8E8E8" w:themeFill="accent3" w:themeFillTint="40"/>
      </w:tcPr>
    </w:tblStylePr>
    <w:tblStylePr w:type="band1Vert">
      <w:tblPr/>
      <w:tcPr>
        <w:shd w:val="clear" w:color="FFFFFF" w:fill="E8E8E8" w:themeFill="accent3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4"/>
    <w:basedOn w:val="83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FEFBF" w:themeFill="accent4" w:themeFillTint="40"/>
      </w:tcPr>
    </w:tblStylePr>
    <w:tblStylePr w:type="band1Vert">
      <w:tblPr/>
      <w:tcPr>
        <w:shd w:val="clear" w:color="FFFFFF" w:fill="FFEFBF" w:themeFill="accent4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5"/>
    <w:basedOn w:val="83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CFDCF0" w:themeFill="accent5" w:themeFillTint="40"/>
      </w:tcPr>
    </w:tblStylePr>
    <w:tblStylePr w:type="band1Vert">
      <w:tblPr/>
      <w:tcPr>
        <w:shd w:val="clear" w:color="FFFFFF" w:fill="CFDCF0" w:themeFill="accent5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1 Light - Accent 6"/>
    <w:basedOn w:val="83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BEBD0" w:themeFill="accent6" w:themeFillTint="40"/>
      </w:tcPr>
    </w:tblStylePr>
    <w:tblStylePr w:type="band1Vert">
      <w:tblPr/>
      <w:tcPr>
        <w:shd w:val="clear" w:color="FFFFFF" w:fill="DBEBD0" w:themeFill="accent6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2"/>
    <w:basedOn w:val="83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757">
    <w:name w:val="List Table 2 - Accent 1"/>
    <w:basedOn w:val="83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D5E6F4" w:themeFill="accent1" w:themeFillTint="40"/>
      </w:tcPr>
    </w:tblStylePr>
    <w:tblStylePr w:type="band1Vert">
      <w:rPr>
        <w:color w:val="404040"/>
        <w:sz w:val="22"/>
      </w:rPr>
      <w:tblPr/>
      <w:tcPr>
        <w:shd w:val="clear" w:color="FFFFFF" w:fill="D5E6F4" w:themeFill="accent1" w:themeFillTint="40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758">
    <w:name w:val="List Table 2 - Accent 2"/>
    <w:basedOn w:val="83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759">
    <w:name w:val="List Table 2 - Accent 3"/>
    <w:basedOn w:val="83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760">
    <w:name w:val="List Table 2 - Accent 4"/>
    <w:basedOn w:val="83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761">
    <w:name w:val="List Table 2 - Accent 5"/>
    <w:basedOn w:val="83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CFDCF0" w:themeFill="accent5" w:themeFillTint="40"/>
      </w:tcPr>
    </w:tblStylePr>
    <w:tblStylePr w:type="band1Vert">
      <w:rPr>
        <w:color w:val="404040"/>
        <w:sz w:val="22"/>
      </w:rPr>
      <w:tblPr/>
      <w:tcPr>
        <w:shd w:val="clear" w:color="FFFFFF" w:fill="CFDCF0" w:themeFill="accent5" w:themeFillTint="40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762">
    <w:name w:val="List Table 2 - Accent 6"/>
    <w:basedOn w:val="83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DBEBD0" w:themeFill="accent6" w:themeFillTint="40"/>
      </w:tcPr>
    </w:tblStylePr>
    <w:tblStylePr w:type="band1Vert">
      <w:rPr>
        <w:color w:val="404040"/>
        <w:sz w:val="22"/>
      </w:rPr>
      <w:tblPr/>
      <w:tcPr>
        <w:shd w:val="clear" w:color="FFFFFF" w:fill="DBEBD0" w:themeFill="accent6" w:themeFillTint="40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763">
    <w:name w:val="List Table 3"/>
    <w:basedOn w:val="83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764">
    <w:name w:val="List Table 3 - Accent 1"/>
    <w:basedOn w:val="83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765">
    <w:name w:val="List Table 3 - Accent 2"/>
    <w:basedOn w:val="83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F4B185" w:themeFill="accent2" w:themeFillTint="97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766">
    <w:name w:val="List Table 3 - Accent 3"/>
    <w:basedOn w:val="83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767">
    <w:name w:val="List Table 3 - Accent 4"/>
    <w:basedOn w:val="83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FFD864" w:themeFill="accent4" w:themeFillTint="9a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768">
    <w:name w:val="List Table 3 - Accent 5"/>
    <w:basedOn w:val="83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8EABDB" w:themeFill="accent5" w:themeFillTint="9a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769">
    <w:name w:val="List Table 3 - Accent 6"/>
    <w:basedOn w:val="83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AAD08F" w:themeFill="accent6" w:themeFillTint="98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770">
    <w:name w:val="List Table 4"/>
    <w:basedOn w:val="83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771">
    <w:name w:val="List Table 4 - Accent 1"/>
    <w:basedOn w:val="83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D5E6F4" w:themeFill="accent1" w:themeFillTint="40"/>
      </w:tcPr>
    </w:tblStylePr>
    <w:tblStylePr w:type="band1Vert">
      <w:rPr>
        <w:color w:val="404040"/>
        <w:sz w:val="22"/>
      </w:rPr>
      <w:tblPr/>
      <w:tcPr>
        <w:shd w:val="clear" w:color="FFFFFF" w:fill="D5E6F4" w:themeFill="accent1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772">
    <w:name w:val="List Table 4 - Accent 2"/>
    <w:basedOn w:val="83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773">
    <w:name w:val="List Table 4 - Accent 3"/>
    <w:basedOn w:val="83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774">
    <w:name w:val="List Table 4 - Accent 4"/>
    <w:basedOn w:val="83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775">
    <w:name w:val="List Table 4 - Accent 5"/>
    <w:basedOn w:val="83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CFDCF0" w:themeFill="accent5" w:themeFillTint="40"/>
      </w:tcPr>
    </w:tblStylePr>
    <w:tblStylePr w:type="band1Vert">
      <w:rPr>
        <w:color w:val="404040"/>
        <w:sz w:val="22"/>
      </w:rPr>
      <w:tblPr/>
      <w:tcPr>
        <w:shd w:val="clear" w:color="FFFFFF" w:fill="CFDCF0" w:themeFill="accent5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776">
    <w:name w:val="List Table 4 - Accent 6"/>
    <w:basedOn w:val="83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DBEBD0" w:themeFill="accent6" w:themeFillTint="40"/>
      </w:tcPr>
    </w:tblStylePr>
    <w:tblStylePr w:type="band1Vert">
      <w:rPr>
        <w:color w:val="404040"/>
        <w:sz w:val="22"/>
      </w:rPr>
      <w:tblPr/>
      <w:tcPr>
        <w:shd w:val="clear" w:color="FFFFFF" w:fill="DBEBD0" w:themeFill="accent6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777">
    <w:name w:val="List Table 5 Dark"/>
    <w:basedOn w:val="83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text1" w:sz="32" w:space="0"/>
          <w:bottom w:val="single" w:color="000000" w:themeColor="light1" w:sz="12" w:space="0"/>
        </w:tcBorders>
        <w:shd w:val="clear" w:color="FFFFFF" w:fill="7F7F7F" w:themeFill="text1" w:themeFillTint="80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778">
    <w:name w:val="List Table 5 Dark - Accent 1"/>
    <w:basedOn w:val="83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5B9BD5" w:themeFill="accent1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fill="5B9BD5" w:themeFill="accent1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779">
    <w:name w:val="List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4B185" w:themeFill="accent2" w:themeFillTint="97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4B185" w:themeFill="accent2" w:themeFillTint="97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4B185" w:themeFill="accent2" w:themeFillTint="97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2" w:sz="32" w:space="0"/>
          <w:bottom w:val="single" w:color="000000" w:themeColor="light1" w:sz="12" w:space="0"/>
        </w:tcBorders>
        <w:shd w:val="clear" w:color="FFFFFF" w:fill="F4B185" w:themeFill="accent2" w:themeFillTint="97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780">
    <w:name w:val="List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9C9C9" w:themeFill="accent3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3" w:sz="32" w:space="0"/>
          <w:bottom w:val="single" w:color="000000" w:themeColor="light1" w:sz="12" w:space="0"/>
        </w:tcBorders>
        <w:shd w:val="clear" w:color="FFFFFF" w:fill="C9C9C9" w:themeFill="accent3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781">
    <w:name w:val="List Table 5 Dark - Accent 4"/>
    <w:basedOn w:val="83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FD864" w:themeFill="accent4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FD864" w:themeFill="accent4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FD864" w:themeFill="accent4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4" w:sz="32" w:space="0"/>
          <w:bottom w:val="single" w:color="000000" w:themeColor="light1" w:sz="12" w:space="0"/>
        </w:tcBorders>
        <w:shd w:val="clear" w:color="FFFFFF" w:fill="FFD864" w:themeFill="accent4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782">
    <w:name w:val="List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8EABDB" w:themeFill="accent5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8EABDB" w:themeFill="accent5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8EABDB" w:themeFill="accent5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5" w:sz="32" w:space="0"/>
          <w:bottom w:val="single" w:color="000000" w:themeColor="light1" w:sz="12" w:space="0"/>
        </w:tcBorders>
        <w:shd w:val="clear" w:color="FFFFFF" w:fill="8EABDB" w:themeFill="accent5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783">
    <w:name w:val="List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AAD08F" w:themeFill="accent6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AAD08F" w:themeFill="accent6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AAD08F" w:themeFill="accent6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6" w:sz="32" w:space="0"/>
          <w:bottom w:val="single" w:color="000000" w:themeColor="light1" w:sz="12" w:space="0"/>
        </w:tcBorders>
        <w:shd w:val="clear" w:color="FFFFFF" w:fill="AAD08F" w:themeFill="accent6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784">
    <w:name w:val="List Table 6 Colorful"/>
    <w:basedOn w:val="83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val="404040" w:themeColor="text1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val="404040" w:themeColor="text1"/>
        <w:sz w:val="22"/>
      </w:rPr>
      <w:tblPr/>
    </w:tblStylePr>
    <w:tblStylePr w:type="firstCol">
      <w:rPr>
        <w:b/>
        <w:color w:val="000000" w:themeColor="text1"/>
      </w:rPr>
      <w:tblPr/>
    </w:tblStylePr>
    <w:tblStylePr w:type="firstRow">
      <w:rPr>
        <w:b/>
        <w:color w:val="000000" w:themeColor="text1"/>
      </w:rPr>
      <w:tblPr/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  <w:tblPr/>
    </w:tblStylePr>
    <w:tblStylePr w:type="lastRow">
      <w:rPr>
        <w:b/>
        <w:color w:val="000000" w:themeColor="text1"/>
      </w:rPr>
      <w:tblPr/>
      <w:tcPr>
        <w:tcBorders>
          <w:top w:val="single" w:color="000000" w:themeColor="text1" w:sz="4" w:space="0"/>
        </w:tcBorders>
      </w:tcPr>
    </w:tblStylePr>
  </w:style>
  <w:style w:type="table" w:styleId="785">
    <w:name w:val="List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val="404040" w:themeColor="accent1" w:themeShade="95"/>
        <w:sz w:val="22"/>
      </w:rPr>
      <w:tblPr/>
      <w:tcPr>
        <w:shd w:val="clear" w:color="FFFFFF" w:fill="D5E6F4" w:themeFill="accent1" w:themeFillTint="40"/>
      </w:tcPr>
    </w:tblStylePr>
    <w:tblStylePr w:type="band1Vert">
      <w:tblPr/>
      <w:tcPr>
        <w:shd w:val="clear" w:color="FFFFFF" w:fill="D5E6F4" w:themeFill="accent1" w:themeFillTint="40"/>
      </w:tcPr>
    </w:tblStylePr>
    <w:tblStylePr w:type="band2Horz">
      <w:rPr>
        <w:color w:val="404040" w:themeColor="accent1" w:themeShade="95"/>
        <w:sz w:val="22"/>
      </w:rPr>
      <w:tblPr/>
    </w:tblStylePr>
    <w:tblStylePr w:type="firstCol">
      <w:rPr>
        <w:b/>
        <w:color w:val="245D8D" w:themeColor="accent1" w:themeShade="95"/>
      </w:rPr>
      <w:tblPr/>
    </w:tblStylePr>
    <w:tblStylePr w:type="firstRow">
      <w:rPr>
        <w:b/>
        <w:color w:val="245D8D" w:themeColor="accent1" w:themeShade="95"/>
      </w:rPr>
      <w:tblPr/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  <w:tblPr/>
    </w:tblStylePr>
    <w:tblStylePr w:type="lastRow">
      <w:rPr>
        <w:b/>
        <w:color w:val="245D8D" w:themeColor="accent1" w:themeShade="95"/>
      </w:rPr>
      <w:tblPr/>
      <w:tcPr>
        <w:tcBorders>
          <w:top w:val="single" w:color="000000" w:themeColor="accent1" w:sz="4" w:space="0"/>
        </w:tcBorders>
      </w:tcPr>
    </w:tblStylePr>
  </w:style>
  <w:style w:type="table" w:styleId="786">
    <w:name w:val="List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2Horz">
      <w:rPr>
        <w:color w:val="404040" w:themeColor="accent2" w:themeTint="97" w:themeShade="95"/>
        <w:sz w:val="22"/>
      </w:rPr>
      <w:tblPr/>
    </w:tblStylePr>
    <w:tblStylePr w:type="firstCol">
      <w:rPr>
        <w:b/>
        <w:color w:val="C95712" w:themeColor="accent2" w:themeTint="97" w:themeShade="95"/>
      </w:rPr>
      <w:tblPr/>
    </w:tblStylePr>
    <w:tblStylePr w:type="firstRow">
      <w:rPr>
        <w:b/>
        <w:color w:val="C95712" w:themeColor="accent2" w:themeTint="97" w:themeShade="95"/>
      </w:rPr>
      <w:tblPr/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C95712" w:themeColor="accent2" w:themeTint="97" w:themeShade="95"/>
      </w:rPr>
      <w:tblPr/>
    </w:tblStylePr>
    <w:tblStylePr w:type="lastRow">
      <w:rPr>
        <w:b/>
        <w:color w:val="C95712" w:themeColor="accent2" w:themeTint="97" w:themeShade="95"/>
      </w:rPr>
      <w:tblPr/>
      <w:tcPr>
        <w:tcBorders>
          <w:top w:val="single" w:color="000000" w:themeColor="accent2" w:sz="4" w:space="0"/>
        </w:tcBorders>
      </w:tcPr>
    </w:tblStylePr>
  </w:style>
  <w:style w:type="table" w:styleId="787">
    <w:name w:val="List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val="404040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2Horz">
      <w:rPr>
        <w:color w:val="404040" w:themeColor="accent3" w:themeTint="98" w:themeShade="95"/>
        <w:sz w:val="22"/>
      </w:rPr>
      <w:tblPr/>
    </w:tblStylePr>
    <w:tblStylePr w:type="firstCol">
      <w:rPr>
        <w:b/>
        <w:color w:val="757575" w:themeColor="accent3" w:themeTint="98" w:themeShade="95"/>
      </w:rPr>
      <w:tblPr/>
    </w:tblStylePr>
    <w:tblStylePr w:type="firstRow">
      <w:rPr>
        <w:b/>
        <w:color w:val="757575" w:themeColor="accent3" w:themeTint="98" w:themeShade="95"/>
      </w:rPr>
      <w:tblPr/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757575" w:themeColor="accent3" w:themeTint="98" w:themeShade="95"/>
      </w:rPr>
      <w:tblPr/>
    </w:tblStylePr>
    <w:tblStylePr w:type="lastRow">
      <w:rPr>
        <w:b/>
        <w:color w:val="757575" w:themeColor="accent3" w:themeTint="98" w:themeShade="95"/>
      </w:rPr>
      <w:tblPr/>
      <w:tcPr>
        <w:tcBorders>
          <w:top w:val="single" w:color="000000" w:themeColor="accent3" w:sz="4" w:space="0"/>
        </w:tcBorders>
      </w:tcPr>
    </w:tblStylePr>
  </w:style>
  <w:style w:type="table" w:styleId="788">
    <w:name w:val="List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2Horz">
      <w:rPr>
        <w:color w:val="404040" w:themeColor="accent4" w:themeTint="9a" w:themeShade="95"/>
        <w:sz w:val="22"/>
      </w:rPr>
      <w:tblPr/>
    </w:tblStylePr>
    <w:tblStylePr w:type="firstCol">
      <w:rPr>
        <w:b/>
        <w:color w:val="CD9600" w:themeColor="accent4" w:themeTint="9a" w:themeShade="95"/>
      </w:rPr>
      <w:tblPr/>
    </w:tblStylePr>
    <w:tblStylePr w:type="firstRow">
      <w:rPr>
        <w:b/>
        <w:color w:val="CD9600" w:themeColor="accent4" w:themeTint="9a" w:themeShade="95"/>
      </w:rPr>
      <w:tblPr/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CD9600" w:themeColor="accent4" w:themeTint="9a" w:themeShade="95"/>
      </w:rPr>
      <w:tblPr/>
    </w:tblStylePr>
    <w:tblStylePr w:type="lastRow">
      <w:rPr>
        <w:b/>
        <w:color w:val="CD9600" w:themeColor="accent4" w:themeTint="9a" w:themeShade="95"/>
      </w:rPr>
      <w:tblPr/>
      <w:tcPr>
        <w:tcBorders>
          <w:top w:val="single" w:color="000000" w:themeColor="accent4" w:sz="4" w:space="0"/>
        </w:tcBorders>
      </w:tcPr>
    </w:tblStylePr>
  </w:style>
  <w:style w:type="table" w:styleId="789">
    <w:name w:val="List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val="404040" w:themeColor="accent5" w:themeTint="9a" w:themeShade="95"/>
        <w:sz w:val="22"/>
      </w:rPr>
      <w:tblPr/>
      <w:tcPr>
        <w:shd w:val="clear" w:color="FFFFFF" w:fill="CFDCF0" w:themeFill="accent5" w:themeFillTint="40"/>
      </w:tcPr>
    </w:tblStylePr>
    <w:tblStylePr w:type="band1Vert">
      <w:tblPr/>
      <w:tcPr>
        <w:shd w:val="clear" w:color="FFFFFF" w:fill="CFDCF0" w:themeFill="accent5" w:themeFillTint="40"/>
      </w:tcPr>
    </w:tblStylePr>
    <w:tblStylePr w:type="band2Horz">
      <w:rPr>
        <w:color w:val="404040" w:themeColor="accent5" w:themeTint="9a" w:themeShade="95"/>
        <w:sz w:val="22"/>
      </w:rPr>
      <w:tblPr/>
    </w:tblStylePr>
    <w:tblStylePr w:type="firstCol">
      <w:rPr>
        <w:b/>
        <w:color w:val="335E9E" w:themeColor="accent5" w:themeTint="9a" w:themeShade="95"/>
      </w:rPr>
      <w:tblPr/>
    </w:tblStylePr>
    <w:tblStylePr w:type="firstRow">
      <w:rPr>
        <w:b/>
        <w:color w:val="335E9E" w:themeColor="accent5" w:themeTint="9a" w:themeShade="95"/>
      </w:rPr>
      <w:tblPr/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335E9E" w:themeColor="accent5" w:themeTint="9a" w:themeShade="95"/>
      </w:rPr>
      <w:tblPr/>
    </w:tblStylePr>
    <w:tblStylePr w:type="lastRow">
      <w:rPr>
        <w:b/>
        <w:color w:val="335E9E" w:themeColor="accent5" w:themeTint="9a" w:themeShade="95"/>
      </w:rPr>
      <w:tblPr/>
      <w:tcPr>
        <w:tcBorders>
          <w:top w:val="single" w:color="000000" w:themeColor="accent5" w:sz="4" w:space="0"/>
        </w:tcBorders>
      </w:tcPr>
    </w:tblStylePr>
  </w:style>
  <w:style w:type="table" w:styleId="790">
    <w:name w:val="List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val="404040" w:themeColor="accent6" w:themeTint="98" w:themeShade="95"/>
        <w:sz w:val="22"/>
      </w:rPr>
      <w:tblPr/>
      <w:tcPr>
        <w:shd w:val="clear" w:color="FFFFFF" w:fill="DBEBD0" w:themeFill="accent6" w:themeFillTint="40"/>
      </w:tcPr>
    </w:tblStylePr>
    <w:tblStylePr w:type="band1Vert">
      <w:tblPr/>
      <w:tcPr>
        <w:shd w:val="clear" w:color="FFFFFF" w:fill="DBEBD0" w:themeFill="accent6" w:themeFillTint="40"/>
      </w:tcPr>
    </w:tblStylePr>
    <w:tblStylePr w:type="band2Horz">
      <w:rPr>
        <w:color w:val="404040" w:themeColor="accent6" w:themeTint="98" w:themeShade="95"/>
        <w:sz w:val="22"/>
      </w:rPr>
      <w:tblPr/>
    </w:tblStylePr>
    <w:tblStylePr w:type="firstCol">
      <w:rPr>
        <w:b/>
        <w:color w:val="5F8F3C" w:themeColor="accent6" w:themeTint="98" w:themeShade="95"/>
      </w:rPr>
      <w:tblPr/>
    </w:tblStylePr>
    <w:tblStylePr w:type="firstRow">
      <w:rPr>
        <w:b/>
        <w:color w:val="5F8F3C" w:themeColor="accent6" w:themeTint="98" w:themeShade="95"/>
      </w:rPr>
      <w:tblPr/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5F8F3C" w:themeColor="accent6" w:themeTint="98" w:themeShade="95"/>
      </w:rPr>
      <w:tblPr/>
    </w:tblStylePr>
    <w:tblStylePr w:type="lastRow">
      <w:rPr>
        <w:b/>
        <w:color w:val="5F8F3C" w:themeColor="accent6" w:themeTint="98" w:themeShade="95"/>
      </w:rPr>
      <w:tblPr/>
      <w:tcPr>
        <w:tcBorders>
          <w:top w:val="single" w:color="000000" w:themeColor="accent6" w:sz="4" w:space="0"/>
        </w:tcBorders>
      </w:tcPr>
    </w:tblStylePr>
  </w:style>
  <w:style w:type="table" w:styleId="791">
    <w:name w:val="List Table 7 Colorful"/>
    <w:basedOn w:val="83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val="4A4A4A"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rPr>
        <w:i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4A4A4A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val="4A4A4A" w:themeColor="text1" w:themeTint="80" w:themeShade="95"/>
        <w:sz w:val="22"/>
      </w:rPr>
      <w:tblPr/>
    </w:tblStylePr>
  </w:style>
  <w:style w:type="table" w:styleId="792">
    <w:name w:val="List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val="245D8D" w:themeColor="accent1" w:themeShade="95"/>
        <w:sz w:val="22"/>
      </w:rPr>
      <w:tblPr/>
      <w:tcPr>
        <w:shd w:val="clear" w:color="FFFFFF" w:fill="D5E6F4" w:themeFill="accent1" w:themeFillTint="40"/>
      </w:tcPr>
    </w:tblStylePr>
    <w:tblStylePr w:type="band1Vert">
      <w:tblPr/>
      <w:tcPr>
        <w:shd w:val="clear" w:color="FFFFFF" w:fill="D5E6F4" w:themeFill="accent1" w:themeFillTint="40"/>
      </w:tcPr>
    </w:tblStylePr>
    <w:tblStylePr w:type="band2Horz">
      <w:rPr>
        <w:color w:val="245D8D" w:themeColor="accent1" w:themeShade="95"/>
        <w:sz w:val="22"/>
      </w:rPr>
      <w:tblPr/>
    </w:tblStylePr>
    <w:tblStylePr w:type="firstCol">
      <w:pPr>
        <w:jc w:val="right"/>
      </w:pPr>
      <w:rPr>
        <w:i/>
        <w:color w:val="245D8D"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i/>
        <w:color w:val="245D8D"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245D8D" w:themeColor="accent1" w:themeShade="95"/>
        <w:sz w:val="22"/>
      </w:rPr>
      <w:tblPr/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245D8D" w:themeColor="accent1" w:themeShade="95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val="245D8D" w:themeColor="accent1" w:themeShade="95"/>
        <w:sz w:val="22"/>
      </w:rPr>
      <w:tblPr/>
    </w:tblStylePr>
  </w:style>
  <w:style w:type="table" w:styleId="793">
    <w:name w:val="List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2Horz">
      <w:rPr>
        <w:color w:val="C95712"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val="C95712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  <w:shd w:val="clear" w:color="FFFFFF"/>
      </w:tcPr>
    </w:tblStylePr>
    <w:tblStylePr w:type="firstRow">
      <w:rPr>
        <w:i/>
        <w:color w:val="C95712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C95712" w:themeColor="accent2" w:themeTint="97" w:themeShade="95"/>
        <w:sz w:val="22"/>
      </w:rPr>
      <w:tblPr/>
      <w:tcPr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C95712"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val="C95712" w:themeColor="accent2" w:themeTint="97" w:themeShade="95"/>
        <w:sz w:val="22"/>
      </w:rPr>
      <w:tblPr/>
    </w:tblStylePr>
  </w:style>
  <w:style w:type="table" w:styleId="794">
    <w:name w:val="List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val="757575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2Horz">
      <w:rPr>
        <w:color w:val="757575" w:themeColor="accent3" w:themeTint="98" w:themeShade="95"/>
        <w:sz w:val="22"/>
      </w:rPr>
      <w:tblPr/>
    </w:tblStylePr>
    <w:tblStylePr w:type="firstCol">
      <w:pPr>
        <w:jc w:val="right"/>
      </w:pPr>
      <w:rPr>
        <w:i/>
        <w:color w:val="757575"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  <w:shd w:val="clear" w:color="FFFFFF"/>
      </w:tcPr>
    </w:tblStylePr>
    <w:tblStylePr w:type="firstRow">
      <w:rPr>
        <w:i/>
        <w:color w:val="757575"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757575" w:themeColor="accent3" w:themeTint="98" w:themeShade="95"/>
        <w:sz w:val="22"/>
      </w:rPr>
      <w:tblPr/>
      <w:tcPr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757575" w:themeColor="accent3" w:themeTint="98" w:themeShade="95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val="757575" w:themeColor="accent3" w:themeTint="98" w:themeShade="95"/>
        <w:sz w:val="22"/>
      </w:rPr>
      <w:tblPr/>
    </w:tblStylePr>
  </w:style>
  <w:style w:type="table" w:styleId="795">
    <w:name w:val="List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2Horz">
      <w:rPr>
        <w:color w:val="CD9600"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val="CD9600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  <w:shd w:val="clear" w:color="FFFFFF"/>
      </w:tcPr>
    </w:tblStylePr>
    <w:tblStylePr w:type="firstRow">
      <w:rPr>
        <w:i/>
        <w:color w:val="CD9600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CD9600" w:themeColor="accent4" w:themeTint="9a" w:themeShade="95"/>
        <w:sz w:val="22"/>
      </w:rPr>
      <w:tblPr/>
      <w:tcPr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CD9600"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val="CD9600" w:themeColor="accent4" w:themeTint="9a" w:themeShade="95"/>
        <w:sz w:val="22"/>
      </w:rPr>
      <w:tblPr/>
    </w:tblStylePr>
  </w:style>
  <w:style w:type="table" w:styleId="796">
    <w:name w:val="List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val="335E9E" w:themeColor="accent5" w:themeTint="9a" w:themeShade="95"/>
        <w:sz w:val="22"/>
      </w:rPr>
      <w:tblPr/>
      <w:tcPr>
        <w:shd w:val="clear" w:color="FFFFFF" w:fill="CFDCF0" w:themeFill="accent5" w:themeFillTint="40"/>
      </w:tcPr>
    </w:tblStylePr>
    <w:tblStylePr w:type="band1Vert">
      <w:tblPr/>
      <w:tcPr>
        <w:shd w:val="clear" w:color="FFFFFF" w:fill="CFDCF0" w:themeFill="accent5" w:themeFillTint="40"/>
      </w:tcPr>
    </w:tblStylePr>
    <w:tblStylePr w:type="band2Horz">
      <w:rPr>
        <w:color w:val="335E9E" w:themeColor="accent5" w:themeTint="9a" w:themeShade="95"/>
        <w:sz w:val="22"/>
      </w:rPr>
      <w:tblPr/>
    </w:tblStylePr>
    <w:tblStylePr w:type="firstCol">
      <w:pPr>
        <w:jc w:val="right"/>
      </w:pPr>
      <w:rPr>
        <w:i/>
        <w:color w:val="335E9E"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  <w:shd w:val="clear" w:color="FFFFFF"/>
      </w:tcPr>
    </w:tblStylePr>
    <w:tblStylePr w:type="firstRow">
      <w:rPr>
        <w:i/>
        <w:color w:val="335E9E"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335E9E" w:themeColor="accent5" w:themeTint="9a" w:themeShade="95"/>
        <w:sz w:val="22"/>
      </w:rPr>
      <w:tblPr/>
      <w:tcPr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335E9E" w:themeColor="accent5" w:themeTint="9a" w:themeShade="95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val="335E9E" w:themeColor="accent5" w:themeTint="9a" w:themeShade="95"/>
        <w:sz w:val="22"/>
      </w:rPr>
      <w:tblPr/>
    </w:tblStylePr>
  </w:style>
  <w:style w:type="table" w:styleId="797">
    <w:name w:val="List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val="5F8F3C" w:themeColor="accent6" w:themeTint="98" w:themeShade="95"/>
        <w:sz w:val="22"/>
      </w:rPr>
      <w:tblPr/>
      <w:tcPr>
        <w:shd w:val="clear" w:color="FFFFFF" w:fill="DBEBD0" w:themeFill="accent6" w:themeFillTint="40"/>
      </w:tcPr>
    </w:tblStylePr>
    <w:tblStylePr w:type="band1Vert">
      <w:tblPr/>
      <w:tcPr>
        <w:shd w:val="clear" w:color="FFFFFF" w:fill="DBEBD0" w:themeFill="accent6" w:themeFillTint="40"/>
      </w:tcPr>
    </w:tblStylePr>
    <w:tblStylePr w:type="band2Horz">
      <w:rPr>
        <w:color w:val="5F8F3C" w:themeColor="accent6" w:themeTint="98" w:themeShade="95"/>
        <w:sz w:val="22"/>
      </w:rPr>
      <w:tblPr/>
    </w:tblStylePr>
    <w:tblStylePr w:type="firstCol">
      <w:pPr>
        <w:jc w:val="right"/>
      </w:pPr>
      <w:rPr>
        <w:i/>
        <w:color w:val="5F8F3C"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  <w:shd w:val="clear" w:color="FFFFFF"/>
      </w:tcPr>
    </w:tblStylePr>
    <w:tblStylePr w:type="firstRow">
      <w:rPr>
        <w:i/>
        <w:color w:val="5F8F3C"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5F8F3C" w:themeColor="accent6" w:themeTint="98" w:themeShade="95"/>
        <w:sz w:val="22"/>
      </w:rPr>
      <w:tblPr/>
      <w:tcPr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5F8F3C" w:themeColor="accent6" w:themeTint="98" w:themeShade="95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val="5F8F3C" w:themeColor="accent6" w:themeTint="98" w:themeShade="95"/>
        <w:sz w:val="22"/>
      </w:rPr>
      <w:tblPr/>
    </w:tblStylePr>
  </w:style>
  <w:style w:type="table" w:styleId="798">
    <w:name w:val="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2Vert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</w:style>
  <w:style w:type="table" w:styleId="799">
    <w:name w:val="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CCE0F1" w:themeFill="accent1" w:themeFillTint="50"/>
      </w:tcPr>
    </w:tblStylePr>
    <w:tblStylePr w:type="band2Vert">
      <w:rPr>
        <w:color w:val="404040"/>
        <w:sz w:val="22"/>
      </w:rPr>
      <w:tblPr/>
      <w:tcPr>
        <w:shd w:val="clear" w:color="FFFFFF" w:fill="CCE0F1" w:themeFill="accent1" w:themeFillTint="50"/>
      </w:tcPr>
    </w:tblStylePr>
    <w:tblStylePr w:type="firstCol">
      <w:rPr>
        <w:color w:val="F2F2F2"/>
        <w:sz w:val="22"/>
      </w:rPr>
      <w:tblPr/>
      <w:tcPr>
        <w:shd w:val="clear" w:color="FFFFFF" w:fill="67A4D8" w:themeFill="accent1" w:themeFillTint="ea"/>
      </w:tcPr>
    </w:tblStylePr>
    <w:tblStylePr w:type="firstRow">
      <w:rPr>
        <w:color w:val="F2F2F2"/>
        <w:sz w:val="22"/>
      </w:rPr>
      <w:tblPr/>
      <w:tcPr>
        <w:shd w:val="clear" w:color="FFFFFF" w:fill="67A4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7A4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7A4D8" w:themeFill="accent1" w:themeFillTint="ea"/>
      </w:tcPr>
    </w:tblStylePr>
  </w:style>
  <w:style w:type="table" w:styleId="800">
    <w:name w:val="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firstCol">
      <w:rPr>
        <w:color w:val="F2F2F2"/>
        <w:sz w:val="22"/>
      </w:rPr>
      <w:tblPr/>
      <w:tcPr>
        <w:shd w:val="clear" w:color="FFFFFF" w:fill="F4B185" w:themeFill="accent2" w:themeFillTint="97"/>
      </w:tcPr>
    </w:tblStylePr>
    <w:tblStylePr w:type="firstRow">
      <w:rPr>
        <w:color w:val="F2F2F2"/>
        <w:sz w:val="22"/>
      </w:rPr>
      <w:tblPr/>
      <w:tcPr>
        <w:shd w:val="clear" w:color="FFFFFF" w:fill="F4B18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5" w:themeFill="accent2" w:themeFillTint="97"/>
      </w:tcPr>
    </w:tblStylePr>
  </w:style>
  <w:style w:type="table" w:styleId="801">
    <w:name w:val="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EDEDED" w:themeFill="accent3" w:themeFillTint="34"/>
      </w:tcPr>
    </w:tblStylePr>
    <w:tblStylePr w:type="band2Vert">
      <w:rPr>
        <w:color w:val="404040"/>
        <w:sz w:val="22"/>
      </w:rPr>
      <w:tblPr/>
      <w:tcPr>
        <w:shd w:val="clear" w:color="FFFFFF" w:fill="EDEDED" w:themeFill="accent3" w:themeFillTint="34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</w:style>
  <w:style w:type="table" w:styleId="802">
    <w:name w:val="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FEF2CB" w:themeFill="accent4" w:themeFillTint="34"/>
      </w:tcPr>
    </w:tblStylePr>
    <w:tblStylePr w:type="band2Vert">
      <w:rPr>
        <w:color w:val="404040"/>
        <w:sz w:val="22"/>
      </w:rPr>
      <w:tblPr/>
      <w:tcPr>
        <w:shd w:val="clear" w:color="FFFFFF" w:fill="FEF2CB" w:themeFill="accent4" w:themeFillTint="34"/>
      </w:tcPr>
    </w:tblStylePr>
    <w:tblStylePr w:type="firstCol">
      <w:rPr>
        <w:color w:val="F2F2F2"/>
        <w:sz w:val="22"/>
      </w:rPr>
      <w:tblPr/>
      <w:tcPr>
        <w:shd w:val="clear" w:color="FFFFFF" w:fill="FFD864" w:themeFill="accent4" w:themeFillTint="9a"/>
      </w:tcPr>
    </w:tblStylePr>
    <w:tblStylePr w:type="firstRow">
      <w:rPr>
        <w:color w:val="F2F2F2"/>
        <w:sz w:val="22"/>
      </w:rPr>
      <w:tblPr/>
      <w:tcPr>
        <w:shd w:val="clear" w:color="FFFFFF" w:fill="FFD864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4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4" w:themeFill="accent4" w:themeFillTint="9a"/>
      </w:tcPr>
    </w:tblStylePr>
  </w:style>
  <w:style w:type="table" w:styleId="803">
    <w:name w:val="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D9E2F2" w:themeFill="accent5" w:themeFillTint="34"/>
      </w:tcPr>
    </w:tblStylePr>
    <w:tblStylePr w:type="band2Vert">
      <w:rPr>
        <w:color w:val="404040"/>
        <w:sz w:val="22"/>
      </w:rPr>
      <w:tblPr/>
      <w:tcPr>
        <w:shd w:val="clear" w:color="FFFFFF" w:fill="D9E2F2" w:themeFill="accent5" w:themeFillTint="34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</w:style>
  <w:style w:type="table" w:styleId="804">
    <w:name w:val="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E2EFD8" w:themeFill="accent6" w:themeFillTint="34"/>
      </w:tcPr>
    </w:tblStylePr>
    <w:tblStylePr w:type="band2Vert">
      <w:rPr>
        <w:color w:val="404040"/>
        <w:sz w:val="22"/>
      </w:rPr>
      <w:tblPr/>
      <w:tcPr>
        <w:shd w:val="clear" w:color="FFFFFF" w:fill="E2EFD8" w:themeFill="accent6" w:themeFillTint="34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</w:style>
  <w:style w:type="table" w:styleId="805">
    <w:name w:val="Bordered &amp; 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2Vert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</w:style>
  <w:style w:type="table" w:styleId="806">
    <w:name w:val="Bordered &amp; 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CCE0F1" w:themeFill="accent1" w:themeFillTint="50"/>
      </w:tcPr>
    </w:tblStylePr>
    <w:tblStylePr w:type="band2Vert">
      <w:rPr>
        <w:color w:val="404040"/>
        <w:sz w:val="22"/>
      </w:rPr>
      <w:tblPr/>
      <w:tcPr>
        <w:shd w:val="clear" w:color="FFFFFF" w:fill="CCE0F1" w:themeFill="accent1" w:themeFillTint="50"/>
      </w:tcPr>
    </w:tblStylePr>
    <w:tblStylePr w:type="firstCol">
      <w:rPr>
        <w:color w:val="F2F2F2"/>
        <w:sz w:val="22"/>
      </w:rPr>
      <w:tblPr/>
      <w:tcPr>
        <w:shd w:val="clear" w:color="FFFFFF" w:fill="67A4D8" w:themeFill="accent1" w:themeFillTint="ea"/>
      </w:tcPr>
    </w:tblStylePr>
    <w:tblStylePr w:type="firstRow">
      <w:rPr>
        <w:color w:val="F2F2F2"/>
        <w:sz w:val="22"/>
      </w:rPr>
      <w:tblPr/>
      <w:tcPr>
        <w:shd w:val="clear" w:color="FFFFFF" w:fill="67A4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7A4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7A4D8" w:themeFill="accent1" w:themeFillTint="ea"/>
      </w:tcPr>
    </w:tblStylePr>
  </w:style>
  <w:style w:type="table" w:styleId="807">
    <w:name w:val="Bordered &amp; 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firstCol">
      <w:rPr>
        <w:color w:val="F2F2F2"/>
        <w:sz w:val="22"/>
      </w:rPr>
      <w:tblPr/>
      <w:tcPr>
        <w:shd w:val="clear" w:color="FFFFFF" w:fill="F4B185" w:themeFill="accent2" w:themeFillTint="97"/>
      </w:tcPr>
    </w:tblStylePr>
    <w:tblStylePr w:type="firstRow">
      <w:rPr>
        <w:color w:val="F2F2F2"/>
        <w:sz w:val="22"/>
      </w:rPr>
      <w:tblPr/>
      <w:tcPr>
        <w:shd w:val="clear" w:color="FFFFFF" w:fill="F4B18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5" w:themeFill="accent2" w:themeFillTint="97"/>
      </w:tcPr>
    </w:tblStylePr>
  </w:style>
  <w:style w:type="table" w:styleId="808">
    <w:name w:val="Bordered &amp; 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EDEDED" w:themeFill="accent3" w:themeFillTint="34"/>
      </w:tcPr>
    </w:tblStylePr>
    <w:tblStylePr w:type="band2Vert">
      <w:rPr>
        <w:color w:val="404040"/>
        <w:sz w:val="22"/>
      </w:rPr>
      <w:tblPr/>
      <w:tcPr>
        <w:shd w:val="clear" w:color="FFFFFF" w:fill="EDEDED" w:themeFill="accent3" w:themeFillTint="34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</w:style>
  <w:style w:type="table" w:styleId="809">
    <w:name w:val="Bordered &amp; 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FEF2CB" w:themeFill="accent4" w:themeFillTint="34"/>
      </w:tcPr>
    </w:tblStylePr>
    <w:tblStylePr w:type="band2Vert">
      <w:rPr>
        <w:color w:val="404040"/>
        <w:sz w:val="22"/>
      </w:rPr>
      <w:tblPr/>
      <w:tcPr>
        <w:shd w:val="clear" w:color="FFFFFF" w:fill="FEF2CB" w:themeFill="accent4" w:themeFillTint="34"/>
      </w:tcPr>
    </w:tblStylePr>
    <w:tblStylePr w:type="firstCol">
      <w:rPr>
        <w:color w:val="F2F2F2"/>
        <w:sz w:val="22"/>
      </w:rPr>
      <w:tblPr/>
      <w:tcPr>
        <w:shd w:val="clear" w:color="FFFFFF" w:fill="FFD864" w:themeFill="accent4" w:themeFillTint="9a"/>
      </w:tcPr>
    </w:tblStylePr>
    <w:tblStylePr w:type="firstRow">
      <w:rPr>
        <w:color w:val="F2F2F2"/>
        <w:sz w:val="22"/>
      </w:rPr>
      <w:tblPr/>
      <w:tcPr>
        <w:shd w:val="clear" w:color="FFFFFF" w:fill="FFD864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4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4" w:themeFill="accent4" w:themeFillTint="9a"/>
      </w:tcPr>
    </w:tblStylePr>
  </w:style>
  <w:style w:type="table" w:styleId="810">
    <w:name w:val="Bordered &amp; 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D9E2F2" w:themeFill="accent5" w:themeFillTint="34"/>
      </w:tcPr>
    </w:tblStylePr>
    <w:tblStylePr w:type="band2Vert">
      <w:rPr>
        <w:color w:val="404040"/>
        <w:sz w:val="22"/>
      </w:rPr>
      <w:tblPr/>
      <w:tcPr>
        <w:shd w:val="clear" w:color="FFFFFF" w:fill="D9E2F2" w:themeFill="accent5" w:themeFillTint="34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</w:style>
  <w:style w:type="table" w:styleId="811">
    <w:name w:val="Bordered &amp; 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E2EFD8" w:themeFill="accent6" w:themeFillTint="34"/>
      </w:tcPr>
    </w:tblStylePr>
    <w:tblStylePr w:type="band2Vert">
      <w:rPr>
        <w:color w:val="404040"/>
        <w:sz w:val="22"/>
      </w:rPr>
      <w:tblPr/>
      <w:tcPr>
        <w:shd w:val="clear" w:color="FFFFFF" w:fill="E2EFD8" w:themeFill="accent6" w:themeFillTint="34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</w:style>
  <w:style w:type="table" w:styleId="812">
    <w:name w:val="Bordered"/>
    <w:basedOn w:val="83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000000" w:themeColor="tex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text1" w:sz="12" w:space="0"/>
        </w:tcBorders>
      </w:tcPr>
    </w:tblStylePr>
  </w:style>
  <w:style w:type="table" w:styleId="813">
    <w:name w:val="Bordered - Accent 1"/>
    <w:basedOn w:val="83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000000" w:themeColor="accen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accent1" w:sz="12" w:space="0"/>
        </w:tcBorders>
      </w:tcPr>
    </w:tblStylePr>
  </w:style>
  <w:style w:type="table" w:styleId="814">
    <w:name w:val="Bordered - Accent 2"/>
    <w:basedOn w:val="83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000000" w:themeColor="accent2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accent2" w:sz="12" w:space="0"/>
        </w:tcBorders>
      </w:tcPr>
    </w:tblStylePr>
  </w:style>
  <w:style w:type="table" w:styleId="815">
    <w:name w:val="Bordered - Accent 3"/>
    <w:basedOn w:val="83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000000" w:themeColor="accent3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accent3" w:sz="12" w:space="0"/>
        </w:tcBorders>
      </w:tcPr>
    </w:tblStylePr>
  </w:style>
  <w:style w:type="table" w:styleId="816">
    <w:name w:val="Bordered - Accent 4"/>
    <w:basedOn w:val="83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000000" w:themeColor="accent4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accent4" w:sz="12" w:space="0"/>
        </w:tcBorders>
      </w:tcPr>
    </w:tblStylePr>
  </w:style>
  <w:style w:type="table" w:styleId="817">
    <w:name w:val="Bordered - Accent 5"/>
    <w:basedOn w:val="83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000000" w:themeColor="accent5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accent5" w:sz="12" w:space="0"/>
        </w:tcBorders>
      </w:tcPr>
    </w:tblStylePr>
  </w:style>
  <w:style w:type="table" w:styleId="818">
    <w:name w:val="Bordered - Accent 6"/>
    <w:basedOn w:val="83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000000" w:themeColor="accent6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accent6" w:sz="12" w:space="0"/>
        </w:tcBorders>
      </w:tcPr>
    </w:tblStylePr>
  </w:style>
  <w:style w:type="table" w:default="1" w:styleId="834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879">
    <w:name w:val="Table Grid"/>
    <w:basedOn w:val="834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LibreOffice/7.1.7.2$Linux_X86_64 LibreOffice_project/c6a4e3954236145e2acb0b65f68614365aeee33f</Application>
  <AppVersion>15.0000</AppVersion>
  <Pages>4</Pages>
  <Words>970</Words>
  <Characters>6059</Characters>
  <CharactersWithSpaces>7035</CharactersWithSpaces>
  <Paragraphs>83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2025-03-27T10:23:00Z</dcterms:created>
  <dc:creator>Лукичев Дмитрий Иванович</dc:creator>
  <dc:description/>
  <dc:language>ru-RU</dc:language>
  <cp:lastModifiedBy/>
  <dcterms:modified xsi:type="dcterms:W3CDTF">2026-03-25T20:45:46Z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